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重庆华牧资产经营管理有限公司</w:t>
      </w:r>
    </w:p>
    <w:p>
      <w:pPr>
        <w:spacing w:line="6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商业性资产经营业务管控信息系统</w:t>
      </w:r>
    </w:p>
    <w:p>
      <w:pPr>
        <w:spacing w:line="640" w:lineRule="exact"/>
        <w:ind w:firstLine="3092" w:firstLineChars="700"/>
        <w:jc w:val="both"/>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lang w:val="en-US" w:eastAsia="zh-CN"/>
          <w14:textFill>
            <w14:solidFill>
              <w14:schemeClr w14:val="tx1"/>
            </w14:solidFill>
          </w14:textFill>
        </w:rPr>
        <w:t>竞争性比选文件</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重庆华牧资产经营管理有限公司（以下简称“华牧资产公司”）商业性资产经营业务管控信息系统（以下简称“项目”）进行</w:t>
      </w:r>
      <w:r>
        <w:rPr>
          <w:rFonts w:hint="eastAsia" w:eastAsia="方正仿宋_GBK"/>
          <w:color w:val="000000" w:themeColor="text1"/>
          <w:sz w:val="32"/>
          <w:szCs w:val="32"/>
          <w:lang w:val="en-US" w:eastAsia="zh-CN"/>
          <w14:textFill>
            <w14:solidFill>
              <w14:schemeClr w14:val="tx1"/>
            </w14:solidFill>
          </w14:textFill>
        </w:rPr>
        <w:t>竞争性比选</w:t>
      </w:r>
      <w:r>
        <w:rPr>
          <w:rFonts w:eastAsia="方正仿宋_GBK"/>
          <w:color w:val="000000" w:themeColor="text1"/>
          <w:sz w:val="32"/>
          <w:szCs w:val="32"/>
          <w14:textFill>
            <w14:solidFill>
              <w14:schemeClr w14:val="tx1"/>
            </w14:solidFill>
          </w14:textFill>
        </w:rPr>
        <w:t>，欢迎符合资格条件的、有能力提供本项目服务的公司参加</w:t>
      </w:r>
      <w:r>
        <w:rPr>
          <w:rFonts w:hint="eastAsia" w:eastAsia="方正仿宋_GBK"/>
          <w:color w:val="000000" w:themeColor="text1"/>
          <w:sz w:val="32"/>
          <w:szCs w:val="32"/>
          <w:lang w:val="en-US" w:eastAsia="zh-CN"/>
          <w14:textFill>
            <w14:solidFill>
              <w14:schemeClr w14:val="tx1"/>
            </w14:solidFill>
          </w14:textFill>
        </w:rPr>
        <w:t>比选</w:t>
      </w:r>
      <w:r>
        <w:rPr>
          <w:rFonts w:eastAsia="方正仿宋_GBK"/>
          <w:color w:val="000000" w:themeColor="text1"/>
          <w:sz w:val="32"/>
          <w:szCs w:val="32"/>
          <w14:textFill>
            <w14:solidFill>
              <w14:schemeClr w14:val="tx1"/>
            </w14:solidFill>
          </w14:textFill>
        </w:rPr>
        <w:t>。</w:t>
      </w:r>
    </w:p>
    <w:p>
      <w:pPr>
        <w:numPr>
          <w:ilvl w:val="0"/>
          <w:numId w:val="2"/>
        </w:numPr>
        <w:spacing w:line="560" w:lineRule="exact"/>
        <w:ind w:firstLine="640" w:firstLineChars="200"/>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lang w:val="en-US" w:eastAsia="zh-CN"/>
          <w14:textFill>
            <w14:solidFill>
              <w14:schemeClr w14:val="tx1"/>
            </w14:solidFill>
          </w14:textFill>
        </w:rPr>
        <w:t>比选</w:t>
      </w:r>
      <w:r>
        <w:rPr>
          <w:rFonts w:eastAsia="方正黑体_GBK"/>
          <w:color w:val="000000" w:themeColor="text1"/>
          <w:sz w:val="32"/>
          <w:szCs w:val="32"/>
          <w14:textFill>
            <w14:solidFill>
              <w14:schemeClr w14:val="tx1"/>
            </w14:solidFill>
          </w14:textFill>
        </w:rPr>
        <w:t>项目</w:t>
      </w:r>
      <w:r>
        <w:rPr>
          <w:rFonts w:hint="eastAsia" w:eastAsia="方正黑体_GBK"/>
          <w:color w:val="000000" w:themeColor="text1"/>
          <w:sz w:val="32"/>
          <w:szCs w:val="32"/>
          <w14:textFill>
            <w14:solidFill>
              <w14:schemeClr w14:val="tx1"/>
            </w14:solidFill>
          </w14:textFill>
        </w:rPr>
        <w:t xml:space="preserve">基本情况 </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（一）项目名称：商业性资产经营业务管控信息系统</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w:t>
      </w:r>
      <w:r>
        <w:rPr>
          <w:rFonts w:hint="eastAsia" w:eastAsia="方正仿宋_GBK"/>
          <w:color w:val="000000" w:themeColor="text1"/>
          <w:sz w:val="32"/>
          <w:szCs w:val="32"/>
          <w:lang w:val="en-US" w:eastAsia="zh-CN"/>
          <w14:textFill>
            <w14:solidFill>
              <w14:schemeClr w14:val="tx1"/>
            </w14:solidFill>
          </w14:textFill>
        </w:rPr>
        <w:t>比选</w:t>
      </w:r>
      <w:r>
        <w:rPr>
          <w:rFonts w:eastAsia="方正仿宋_GBK"/>
          <w:color w:val="000000" w:themeColor="text1"/>
          <w:sz w:val="32"/>
          <w:szCs w:val="32"/>
          <w14:textFill>
            <w14:solidFill>
              <w14:schemeClr w14:val="tx1"/>
            </w14:solidFill>
          </w14:textFill>
        </w:rPr>
        <w:t>单位：重庆华牧资产经营管理有限公司</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（三）建设地点：江北区观音桥建新东路3号百业兴大厦4楼</w:t>
      </w:r>
    </w:p>
    <w:p>
      <w:pPr>
        <w:spacing w:line="56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建设</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要求</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w:t>
      </w:r>
      <w:r>
        <w:rPr>
          <w:rFonts w:eastAsia="方正仿宋_GBK"/>
          <w:color w:val="000000" w:themeColor="text1"/>
          <w:sz w:val="32"/>
          <w:szCs w:val="32"/>
          <w14:textFill>
            <w14:solidFill>
              <w14:schemeClr w14:val="tx1"/>
            </w14:solidFill>
          </w14:textFill>
        </w:rPr>
        <w:t>设计目标</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以华牧资产公司资产运营管理业务为基础，重构业务管理模式，业务流程。目标、责任直观体现，杜绝吃大锅饭。建立资产管理者与资产使用者之间的直通机</w:t>
      </w:r>
      <w:r>
        <w:rPr>
          <w:rFonts w:hint="eastAsia" w:eastAsia="方正仿宋_GBK"/>
          <w:color w:val="000000" w:themeColor="text1"/>
          <w:sz w:val="32"/>
          <w:szCs w:val="32"/>
          <w14:textFill>
            <w14:solidFill>
              <w14:schemeClr w14:val="tx1"/>
            </w14:solidFill>
          </w14:textFill>
        </w:rPr>
        <w:t>制</w:t>
      </w:r>
      <w:r>
        <w:rPr>
          <w:rFonts w:eastAsia="方正仿宋_GBK"/>
          <w:color w:val="000000" w:themeColor="text1"/>
          <w:sz w:val="32"/>
          <w:szCs w:val="32"/>
          <w14:textFill>
            <w14:solidFill>
              <w14:schemeClr w14:val="tx1"/>
            </w14:solidFill>
          </w14:textFill>
        </w:rPr>
        <w:t>，助力完善争对资产管理的有关信息发布、资产合同管理、租赁资金收取、资产维护维修、客户管理、资产基本信息管理、招商、运营考核、其他服务</w:t>
      </w:r>
      <w:r>
        <w:rPr>
          <w:rFonts w:hint="eastAsia" w:eastAsia="方正仿宋_GBK"/>
          <w:color w:val="000000" w:themeColor="text1"/>
          <w:sz w:val="32"/>
          <w:szCs w:val="32"/>
          <w:lang w:val="en-US" w:eastAsia="zh-CN"/>
          <w14:textFill>
            <w14:solidFill>
              <w14:schemeClr w14:val="tx1"/>
            </w14:solidFill>
          </w14:textFill>
        </w:rPr>
        <w:t>和后期扩展</w:t>
      </w:r>
      <w:r>
        <w:rPr>
          <w:rFonts w:hint="eastAsia" w:eastAsia="方正仿宋_GBK"/>
          <w:color w:val="000000" w:themeColor="text1"/>
          <w:sz w:val="32"/>
          <w:szCs w:val="32"/>
          <w14:textFill>
            <w14:solidFill>
              <w14:schemeClr w14:val="tx1"/>
            </w14:solidFill>
          </w14:textFill>
        </w:rPr>
        <w:t>等服务</w:t>
      </w:r>
      <w:r>
        <w:rPr>
          <w:rFonts w:eastAsia="方正仿宋_GBK"/>
          <w:color w:val="000000" w:themeColor="text1"/>
          <w:sz w:val="32"/>
          <w:szCs w:val="32"/>
          <w14:textFill>
            <w14:solidFill>
              <w14:schemeClr w14:val="tx1"/>
            </w14:solidFill>
          </w14:textFill>
        </w:rPr>
        <w:t>管理体系，搭建信息化系统，从而有效提高工作效率，提升服务能力，给予资产经营者和资产使用者切实的帮助。</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w:t>
      </w:r>
      <w:r>
        <w:rPr>
          <w:rFonts w:eastAsia="方正仿宋_GBK"/>
          <w:color w:val="000000" w:themeColor="text1"/>
          <w:sz w:val="32"/>
          <w:szCs w:val="32"/>
          <w14:textFill>
            <w14:solidFill>
              <w14:schemeClr w14:val="tx1"/>
            </w14:solidFill>
          </w14:textFill>
        </w:rPr>
        <w:t>设计原则</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系统的建设遵循技术先进、功能齐全、性能稳定、节约成本</w:t>
      </w:r>
      <w:r>
        <w:rPr>
          <w:rFonts w:hint="eastAsia" w:eastAsia="方正仿宋_GBK"/>
          <w:color w:val="000000" w:themeColor="text1"/>
          <w:sz w:val="32"/>
          <w:szCs w:val="32"/>
          <w:lang w:val="en-US" w:eastAsia="zh-CN"/>
          <w14:textFill>
            <w14:solidFill>
              <w14:schemeClr w14:val="tx1"/>
            </w14:solidFill>
          </w14:textFill>
        </w:rPr>
        <w:t>和可扩展</w:t>
      </w:r>
      <w:r>
        <w:rPr>
          <w:rFonts w:eastAsia="方正仿宋_GBK"/>
          <w:color w:val="000000" w:themeColor="text1"/>
          <w:sz w:val="32"/>
          <w:szCs w:val="32"/>
          <w14:textFill>
            <w14:solidFill>
              <w14:schemeClr w14:val="tx1"/>
            </w14:solidFill>
          </w14:textFill>
        </w:rPr>
        <w:t>的原则。使该系统成为真正符合华牧资产公司经营性资产业务管控实际应用的信息平台。并综合考虑维护及操作因素，并将为今后的发展、扩展、改造等因素留有扩充的余地。系统设计时追求“五个统一”，努力寻找统一的最佳结合点和切入点.</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w:t>
      </w:r>
      <w:r>
        <w:rPr>
          <w:rFonts w:eastAsia="方正仿宋_GBK"/>
          <w:color w:val="000000" w:themeColor="text1"/>
          <w:sz w:val="32"/>
          <w:szCs w:val="32"/>
          <w14:textFill>
            <w14:solidFill>
              <w14:schemeClr w14:val="tx1"/>
            </w14:solidFill>
          </w14:textFill>
        </w:rPr>
        <w:t>建设内容</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本次经营性资产业务管控系统建设内容包括但不限于六大部分，即：</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资产管理。对华牧资产公司的所有经营性资产进行管理，主要包括资产基本信息的录入、维护、查询、统计和分析。</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客户管理。对承租人（租户）进行管理，包括对在租租客、历史租客信息及变更进行记录查询，对租客缴费记录及缴费信用查询。</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租赁合同管理。根据合同类别建立不同的合同模板，新签合同一键生成，已签合同一键导入，能够实现在线合同审批。</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4.</w:t>
      </w:r>
      <w:r>
        <w:rPr>
          <w:rFonts w:eastAsia="方正仿宋_GBK"/>
          <w:color w:val="000000" w:themeColor="text1"/>
          <w:sz w:val="32"/>
          <w:szCs w:val="32"/>
          <w14:textFill>
            <w14:solidFill>
              <w14:schemeClr w14:val="tx1"/>
            </w14:solidFill>
          </w14:textFill>
        </w:rPr>
        <w:t>客户服务。实现客户房屋维修的报修、响应、审批、实施、交付、结算等服务；实现公司政策、通知公告、招商信息等的展示。</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5.</w:t>
      </w:r>
      <w:r>
        <w:rPr>
          <w:rFonts w:eastAsia="方正仿宋_GBK"/>
          <w:color w:val="000000" w:themeColor="text1"/>
          <w:sz w:val="32"/>
          <w:szCs w:val="32"/>
          <w14:textFill>
            <w14:solidFill>
              <w14:schemeClr w14:val="tx1"/>
            </w14:solidFill>
          </w14:textFill>
        </w:rPr>
        <w:t>租金管理。实现租金、押金、物业费、管理费等费用的缴费提醒和线上缴费；能快速生成各类资金报表；对各类减免、欠收、缓交等进行线上审批。</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6.</w:t>
      </w:r>
      <w:r>
        <w:rPr>
          <w:rFonts w:eastAsia="方正仿宋_GBK"/>
          <w:color w:val="000000" w:themeColor="text1"/>
          <w:sz w:val="32"/>
          <w:szCs w:val="32"/>
          <w14:textFill>
            <w14:solidFill>
              <w14:schemeClr w14:val="tx1"/>
            </w14:solidFill>
          </w14:textFill>
        </w:rPr>
        <w:t>系统管理。包括组织架构管理、管理人员设置、角色管理、权限设置、基础配置等功能。</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三</w:t>
      </w:r>
      <w:r>
        <w:rPr>
          <w:rFonts w:eastAsia="方正黑体_GBK"/>
          <w:color w:val="000000" w:themeColor="text1"/>
          <w:sz w:val="32"/>
          <w:szCs w:val="32"/>
          <w14:textFill>
            <w14:solidFill>
              <w14:schemeClr w14:val="tx1"/>
            </w14:solidFill>
          </w14:textFill>
        </w:rPr>
        <w:t>、资格要求</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具有独立法人资格，</w:t>
      </w:r>
      <w:r>
        <w:rPr>
          <w:rFonts w:hint="eastAsia" w:eastAsia="方正仿宋_GBK" w:cs="Times New Roman"/>
          <w:color w:val="000000" w:themeColor="text1"/>
          <w:sz w:val="32"/>
          <w:szCs w:val="32"/>
          <w:lang w:val="en-US" w:eastAsia="zh-CN"/>
          <w14:textFill>
            <w14:solidFill>
              <w14:schemeClr w14:val="tx1"/>
            </w14:solidFill>
          </w14:textFill>
        </w:rPr>
        <w:t>软件开发</w:t>
      </w:r>
      <w:r>
        <w:rPr>
          <w:rFonts w:eastAsia="方正仿宋_GBK"/>
          <w:color w:val="000000" w:themeColor="text1"/>
          <w:sz w:val="32"/>
          <w:szCs w:val="32"/>
          <w14:textFill>
            <w14:solidFill>
              <w14:schemeClr w14:val="tx1"/>
            </w14:solidFill>
          </w14:textFill>
        </w:rPr>
        <w:t>资质和独立提供项目服务能力。</w:t>
      </w:r>
    </w:p>
    <w:p>
      <w:pPr>
        <w:spacing w:line="560" w:lineRule="exact"/>
        <w:ind w:firstLine="640" w:firstLineChars="200"/>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四</w:t>
      </w:r>
      <w:r>
        <w:rPr>
          <w:rFonts w:eastAsia="方正黑体_GBK"/>
          <w:color w:val="000000" w:themeColor="text1"/>
          <w:sz w:val="32"/>
          <w:szCs w:val="32"/>
          <w14:textFill>
            <w14:solidFill>
              <w14:schemeClr w14:val="tx1"/>
            </w14:solidFill>
          </w14:textFill>
        </w:rPr>
        <w:t>、</w:t>
      </w:r>
      <w:r>
        <w:rPr>
          <w:rFonts w:hint="eastAsia" w:eastAsia="方正黑体_GBK"/>
          <w:color w:val="000000" w:themeColor="text1"/>
          <w:sz w:val="32"/>
          <w:szCs w:val="32"/>
          <w:lang w:val="en-US" w:eastAsia="zh-CN"/>
          <w14:textFill>
            <w14:solidFill>
              <w14:schemeClr w14:val="tx1"/>
            </w14:solidFill>
          </w14:textFill>
        </w:rPr>
        <w:t>比选</w:t>
      </w:r>
      <w:r>
        <w:rPr>
          <w:rFonts w:eastAsia="方正黑体_GBK"/>
          <w:color w:val="000000" w:themeColor="text1"/>
          <w:sz w:val="32"/>
          <w:szCs w:val="32"/>
          <w14:textFill>
            <w14:solidFill>
              <w14:schemeClr w14:val="tx1"/>
            </w14:solidFill>
          </w14:textFill>
        </w:rPr>
        <w:t>文件发布</w:t>
      </w:r>
    </w:p>
    <w:p>
      <w:pPr>
        <w:spacing w:line="560" w:lineRule="exact"/>
        <w:ind w:firstLine="320" w:firstLineChars="1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（一）时间：2022年</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lang w:val="en-US" w:eastAsia="zh-CN"/>
          <w14:textFill>
            <w14:solidFill>
              <w14:schemeClr w14:val="tx1"/>
            </w14:solidFill>
          </w14:textFill>
        </w:rPr>
        <w:t>15</w:t>
      </w:r>
      <w:r>
        <w:rPr>
          <w:rFonts w:eastAsia="方正仿宋_GBK"/>
          <w:color w:val="000000" w:themeColor="text1"/>
          <w:sz w:val="32"/>
          <w:szCs w:val="32"/>
          <w14:textFill>
            <w14:solidFill>
              <w14:schemeClr w14:val="tx1"/>
            </w14:solidFill>
          </w14:textFill>
        </w:rPr>
        <w:t>日至2022年</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lang w:val="en-US" w:eastAsia="zh-CN"/>
          <w14:textFill>
            <w14:solidFill>
              <w14:schemeClr w14:val="tx1"/>
            </w14:solidFill>
          </w14:textFill>
        </w:rPr>
        <w:t>25</w:t>
      </w:r>
      <w:r>
        <w:rPr>
          <w:rFonts w:eastAsia="方正仿宋_GBK"/>
          <w:color w:val="000000" w:themeColor="text1"/>
          <w:sz w:val="32"/>
          <w:szCs w:val="32"/>
          <w14:textFill>
            <w14:solidFill>
              <w14:schemeClr w14:val="tx1"/>
            </w14:solidFill>
          </w14:textFill>
        </w:rPr>
        <w:t>日</w:t>
      </w:r>
    </w:p>
    <w:p>
      <w:pPr>
        <w:tabs>
          <w:tab w:val="left" w:pos="2250"/>
          <w:tab w:val="left" w:pos="6945"/>
        </w:tabs>
        <w:ind w:firstLine="320" w:firstLineChars="100"/>
        <w:jc w:val="left"/>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二</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网上发布：</w:t>
      </w:r>
      <w:r>
        <w:rPr>
          <w:rFonts w:hint="default" w:ascii="Times New Roman" w:hAnsi="Times New Roman" w:eastAsia="方正仿宋_GBK" w:cs="Times New Roman"/>
          <w:color w:val="auto"/>
          <w:sz w:val="32"/>
          <w:szCs w:val="32"/>
          <w:lang w:eastAsia="zh-CN"/>
        </w:rPr>
        <w:t>按资产管理办法规定，</w:t>
      </w:r>
      <w:r>
        <w:rPr>
          <w:rFonts w:hint="default" w:ascii="Times New Roman" w:hAnsi="Times New Roman" w:eastAsia="方正仿宋_GBK" w:cs="Times New Roman"/>
          <w:color w:val="auto"/>
          <w:sz w:val="32"/>
          <w:szCs w:val="32"/>
        </w:rPr>
        <w:t>将</w:t>
      </w:r>
      <w:r>
        <w:rPr>
          <w:rFonts w:hint="eastAsia" w:eastAsia="方正仿宋_GBK" w:cs="Times New Roman"/>
          <w:color w:val="auto"/>
          <w:sz w:val="32"/>
          <w:szCs w:val="32"/>
          <w:lang w:val="en-US" w:eastAsia="zh-CN"/>
        </w:rPr>
        <w:t>比选文件</w:t>
      </w:r>
      <w:r>
        <w:rPr>
          <w:rFonts w:hint="default" w:ascii="Times New Roman" w:hAnsi="Times New Roman" w:eastAsia="方正仿宋_GBK" w:cs="Times New Roman"/>
          <w:color w:val="auto"/>
          <w:sz w:val="32"/>
          <w:szCs w:val="32"/>
        </w:rPr>
        <w:t>发到</w:t>
      </w:r>
      <w:r>
        <w:rPr>
          <w:rFonts w:hint="default" w:ascii="Times New Roman" w:hAnsi="Times New Roman" w:eastAsia="方正仿宋_GBK" w:cs="Times New Roman"/>
          <w:color w:val="auto"/>
          <w:sz w:val="32"/>
          <w:szCs w:val="32"/>
          <w:lang w:eastAsia="zh-CN"/>
        </w:rPr>
        <w:t>集团网站、公司网站、</w:t>
      </w:r>
      <w:r>
        <w:rPr>
          <w:rFonts w:hint="default" w:ascii="Times New Roman" w:hAnsi="Times New Roman" w:eastAsia="方正仿宋_GBK" w:cs="Times New Roman"/>
          <w:color w:val="auto"/>
          <w:sz w:val="32"/>
          <w:szCs w:val="32"/>
          <w:lang w:val="en-US" w:eastAsia="zh-CN"/>
        </w:rPr>
        <w:t>市种畜场网站</w:t>
      </w:r>
    </w:p>
    <w:p>
      <w:pPr>
        <w:spacing w:line="560" w:lineRule="exact"/>
        <w:ind w:firstLine="320" w:firstLineChars="1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三</w:t>
      </w: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比选</w:t>
      </w:r>
      <w:r>
        <w:rPr>
          <w:rFonts w:eastAsia="方正仿宋_GBK"/>
          <w:color w:val="000000" w:themeColor="text1"/>
          <w:sz w:val="32"/>
          <w:szCs w:val="32"/>
          <w14:textFill>
            <w14:solidFill>
              <w14:schemeClr w14:val="tx1"/>
            </w14:solidFill>
          </w14:textFill>
        </w:rPr>
        <w:t>文件获取方式：现场登记领取</w:t>
      </w:r>
    </w:p>
    <w:p>
      <w:pPr>
        <w:spacing w:line="560" w:lineRule="exact"/>
        <w:ind w:firstLine="320" w:firstLineChars="1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四</w:t>
      </w: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比选</w:t>
      </w:r>
      <w:r>
        <w:rPr>
          <w:rFonts w:eastAsia="方正仿宋_GBK"/>
          <w:color w:val="000000" w:themeColor="text1"/>
          <w:sz w:val="32"/>
          <w:szCs w:val="32"/>
          <w14:textFill>
            <w14:solidFill>
              <w14:schemeClr w14:val="tx1"/>
            </w14:solidFill>
          </w14:textFill>
        </w:rPr>
        <w:t>地点：重庆市江北区观音桥建新东路3号百业兴大厦4楼华牧资产公司资产运营部</w:t>
      </w:r>
    </w:p>
    <w:p>
      <w:pPr>
        <w:spacing w:line="560" w:lineRule="exact"/>
        <w:ind w:firstLine="320" w:firstLineChars="1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五</w:t>
      </w:r>
      <w:r>
        <w:rPr>
          <w:rFonts w:eastAsia="方正仿宋_GBK"/>
          <w:color w:val="000000" w:themeColor="text1"/>
          <w:sz w:val="32"/>
          <w:szCs w:val="32"/>
          <w14:textFill>
            <w14:solidFill>
              <w14:schemeClr w14:val="tx1"/>
            </w14:solidFill>
          </w14:textFill>
        </w:rPr>
        <w:t>）投标截止时间：2022年</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lang w:val="en-US" w:eastAsia="zh-CN"/>
          <w14:textFill>
            <w14:solidFill>
              <w14:schemeClr w14:val="tx1"/>
            </w14:solidFill>
          </w14:textFill>
        </w:rPr>
        <w:t>8</w:t>
      </w:r>
      <w:r>
        <w:rPr>
          <w:rFonts w:eastAsia="方正仿宋_GBK"/>
          <w:color w:val="000000" w:themeColor="text1"/>
          <w:sz w:val="32"/>
          <w:szCs w:val="32"/>
          <w14:textFill>
            <w14:solidFill>
              <w14:schemeClr w14:val="tx1"/>
            </w14:solidFill>
          </w14:textFill>
        </w:rPr>
        <w:t>日北京时间16:00</w:t>
      </w:r>
    </w:p>
    <w:p>
      <w:pPr>
        <w:spacing w:line="560" w:lineRule="exact"/>
        <w:ind w:firstLine="320" w:firstLineChars="100"/>
        <w:rPr>
          <w:rFonts w:hint="eastAsia" w:eastAsia="方正仿宋_GBK"/>
          <w:color w:val="000000" w:themeColor="text1"/>
          <w:sz w:val="32"/>
          <w:szCs w:val="32"/>
          <w:lang w:eastAsia="zh-CN"/>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六</w:t>
      </w:r>
      <w:r>
        <w:rPr>
          <w:rFonts w:eastAsia="方正仿宋_GBK"/>
          <w:color w:val="000000" w:themeColor="text1"/>
          <w:sz w:val="32"/>
          <w:szCs w:val="32"/>
          <w14:textFill>
            <w14:solidFill>
              <w14:schemeClr w14:val="tx1"/>
            </w14:solidFill>
          </w14:textFill>
        </w:rPr>
        <w:t>）开标时间：2022年</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lang w:val="en-US" w:eastAsia="zh-CN"/>
          <w14:textFill>
            <w14:solidFill>
              <w14:schemeClr w14:val="tx1"/>
            </w14:solidFill>
          </w14:textFill>
        </w:rPr>
        <w:t>14</w:t>
      </w:r>
      <w:r>
        <w:rPr>
          <w:rFonts w:eastAsia="方正仿宋_GBK"/>
          <w:color w:val="000000" w:themeColor="text1"/>
          <w:sz w:val="32"/>
          <w:szCs w:val="32"/>
          <w14:textFill>
            <w14:solidFill>
              <w14:schemeClr w14:val="tx1"/>
            </w14:solidFill>
          </w14:textFill>
        </w:rPr>
        <w:t>日北京时间9:30</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暂定</w:t>
      </w:r>
      <w:r>
        <w:rPr>
          <w:rFonts w:hint="eastAsia" w:eastAsia="方正仿宋_GBK"/>
          <w:color w:val="000000" w:themeColor="text1"/>
          <w:sz w:val="32"/>
          <w:szCs w:val="32"/>
          <w:lang w:eastAsia="zh-CN"/>
          <w14:textFill>
            <w14:solidFill>
              <w14:schemeClr w14:val="tx1"/>
            </w14:solidFill>
          </w14:textFill>
        </w:rPr>
        <w:t>）</w:t>
      </w:r>
    </w:p>
    <w:p>
      <w:pPr>
        <w:spacing w:line="560" w:lineRule="exact"/>
        <w:ind w:firstLine="320" w:firstLineChars="1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七</w:t>
      </w:r>
      <w:r>
        <w:rPr>
          <w:rFonts w:eastAsia="方正仿宋_GBK"/>
          <w:color w:val="000000" w:themeColor="text1"/>
          <w:sz w:val="32"/>
          <w:szCs w:val="32"/>
          <w14:textFill>
            <w14:solidFill>
              <w14:schemeClr w14:val="tx1"/>
            </w14:solidFill>
          </w14:textFill>
        </w:rPr>
        <w:t>）开标地点：重庆市江北区观音桥建新东路3号百业兴大厦4楼华牧资产公司</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五</w:t>
      </w:r>
      <w:r>
        <w:rPr>
          <w:rFonts w:eastAsia="方正黑体_GBK"/>
          <w:color w:val="000000" w:themeColor="text1"/>
          <w:sz w:val="32"/>
          <w:szCs w:val="32"/>
          <w14:textFill>
            <w14:solidFill>
              <w14:schemeClr w14:val="tx1"/>
            </w14:solidFill>
          </w14:textFill>
        </w:rPr>
        <w:t>、咨询</w:t>
      </w:r>
    </w:p>
    <w:p>
      <w:pPr>
        <w:spacing w:line="560"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  </w:t>
      </w:r>
      <w:r>
        <w:rPr>
          <w:rFonts w:hint="eastAsia" w:eastAsia="方正仿宋_GBK"/>
          <w:color w:val="000000" w:themeColor="text1"/>
          <w:sz w:val="32"/>
          <w:szCs w:val="32"/>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投标人在投标截止时间之前自行向华牧资产公司咨询资产</w:t>
      </w:r>
      <w:r>
        <w:rPr>
          <w:rFonts w:hint="eastAsia" w:eastAsia="方正仿宋_GBK"/>
          <w:color w:val="000000" w:themeColor="text1"/>
          <w:sz w:val="32"/>
          <w:szCs w:val="32"/>
          <w14:textFill>
            <w14:solidFill>
              <w14:schemeClr w14:val="tx1"/>
            </w14:solidFill>
          </w14:textFill>
        </w:rPr>
        <w:t>基本情况</w:t>
      </w:r>
      <w:r>
        <w:rPr>
          <w:rFonts w:eastAsia="方正仿宋_GBK"/>
          <w:color w:val="000000" w:themeColor="text1"/>
          <w:sz w:val="32"/>
          <w:szCs w:val="32"/>
          <w14:textFill>
            <w14:solidFill>
              <w14:schemeClr w14:val="tx1"/>
            </w14:solidFill>
          </w14:textFill>
        </w:rPr>
        <w:t>、资产管理现状等相关信息。</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六</w:t>
      </w:r>
      <w:r>
        <w:rPr>
          <w:rFonts w:eastAsia="方正黑体_GBK"/>
          <w:color w:val="000000" w:themeColor="text1"/>
          <w:sz w:val="32"/>
          <w:szCs w:val="32"/>
          <w14:textFill>
            <w14:solidFill>
              <w14:schemeClr w14:val="tx1"/>
            </w14:solidFill>
          </w14:textFill>
        </w:rPr>
        <w:t>、售后服务</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（一）电话咨询</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中标人应当为</w:t>
      </w:r>
      <w:r>
        <w:rPr>
          <w:rFonts w:hint="eastAsia" w:eastAsia="方正仿宋_GBK"/>
          <w:color w:val="000000" w:themeColor="text1"/>
          <w:sz w:val="32"/>
          <w:szCs w:val="32"/>
          <w:lang w:val="en-US" w:eastAsia="zh-CN"/>
          <w14:textFill>
            <w14:solidFill>
              <w14:schemeClr w14:val="tx1"/>
            </w14:solidFill>
          </w14:textFill>
        </w:rPr>
        <w:t>比选</w:t>
      </w:r>
      <w:r>
        <w:rPr>
          <w:rFonts w:eastAsia="方正仿宋_GBK"/>
          <w:color w:val="000000" w:themeColor="text1"/>
          <w:sz w:val="32"/>
          <w:szCs w:val="32"/>
          <w14:textFill>
            <w14:solidFill>
              <w14:schemeClr w14:val="tx1"/>
            </w14:solidFill>
          </w14:textFill>
        </w:rPr>
        <w:t>人提供技术援助电话，解答</w:t>
      </w:r>
      <w:r>
        <w:rPr>
          <w:rFonts w:hint="eastAsia" w:eastAsia="方正仿宋_GBK"/>
          <w:color w:val="000000" w:themeColor="text1"/>
          <w:sz w:val="32"/>
          <w:szCs w:val="32"/>
          <w:lang w:val="en-US" w:eastAsia="zh-CN"/>
          <w14:textFill>
            <w14:solidFill>
              <w14:schemeClr w14:val="tx1"/>
            </w14:solidFill>
          </w14:textFill>
        </w:rPr>
        <w:t>比选</w:t>
      </w:r>
      <w:r>
        <w:rPr>
          <w:rFonts w:eastAsia="方正仿宋_GBK"/>
          <w:color w:val="000000" w:themeColor="text1"/>
          <w:sz w:val="32"/>
          <w:szCs w:val="32"/>
          <w14:textFill>
            <w14:solidFill>
              <w14:schemeClr w14:val="tx1"/>
            </w14:solidFill>
          </w14:textFill>
        </w:rPr>
        <w:t>人在使用中遇到的问题，及时为</w:t>
      </w:r>
      <w:r>
        <w:rPr>
          <w:rFonts w:hint="eastAsia" w:eastAsia="方正仿宋_GBK"/>
          <w:color w:val="000000" w:themeColor="text1"/>
          <w:sz w:val="32"/>
          <w:szCs w:val="32"/>
          <w:lang w:val="en-US" w:eastAsia="zh-CN"/>
          <w14:textFill>
            <w14:solidFill>
              <w14:schemeClr w14:val="tx1"/>
            </w14:solidFill>
          </w14:textFill>
        </w:rPr>
        <w:t>比选</w:t>
      </w:r>
      <w:r>
        <w:rPr>
          <w:rFonts w:eastAsia="方正仿宋_GBK"/>
          <w:color w:val="000000" w:themeColor="text1"/>
          <w:sz w:val="32"/>
          <w:szCs w:val="32"/>
          <w14:textFill>
            <w14:solidFill>
              <w14:schemeClr w14:val="tx1"/>
            </w14:solidFill>
          </w14:textFill>
        </w:rPr>
        <w:t>人提出解决问题的建议。</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（二）现场解决</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比选</w:t>
      </w:r>
      <w:r>
        <w:rPr>
          <w:rFonts w:eastAsia="方正仿宋_GBK"/>
          <w:color w:val="000000" w:themeColor="text1"/>
          <w:sz w:val="32"/>
          <w:szCs w:val="32"/>
          <w14:textFill>
            <w14:solidFill>
              <w14:schemeClr w14:val="tx1"/>
            </w14:solidFill>
          </w14:textFill>
        </w:rPr>
        <w:t>人遇到使用及技术问题，电话咨询不能解决的，中标人应及时到达现场进行处理，确保系统能够正常运行。</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（三）培训</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中标人对系统在使用和操作应尽培训义务，中标人应提供对招标人的基本免费培训，使用人员能够正常操作。</w:t>
      </w:r>
    </w:p>
    <w:p>
      <w:pPr>
        <w:spacing w:line="240" w:lineRule="auto"/>
        <w:ind w:firstLine="640" w:firstLineChars="200"/>
        <w:rPr>
          <w:rFonts w:hint="default" w:eastAsia="宋体"/>
          <w:color w:val="000000" w:themeColor="text1"/>
          <w:sz w:val="21"/>
          <w:szCs w:val="24"/>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七、付款方式</w:t>
      </w:r>
    </w:p>
    <w:p>
      <w:pPr>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（一）合同生效后10个工作日内支付合同款总额的20%。</w:t>
      </w:r>
    </w:p>
    <w:p>
      <w:pPr>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（二）系统进场后10个工作日内支付合同款总额的50%。</w:t>
      </w:r>
    </w:p>
    <w:p>
      <w:pPr>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（三）经甲乙双方对系统运行验收合格后10个工作日内支付合同款总额的28%，剩余2%为质量保证金。</w:t>
      </w:r>
    </w:p>
    <w:p>
      <w:pPr>
        <w:spacing w:line="560" w:lineRule="exact"/>
        <w:ind w:firstLine="640" w:firstLineChars="200"/>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lang w:val="en-US" w:eastAsia="zh-CN"/>
          <w14:textFill>
            <w14:solidFill>
              <w14:schemeClr w14:val="tx1"/>
            </w14:solidFill>
          </w14:textFill>
        </w:rPr>
        <w:t>八、</w:t>
      </w:r>
      <w:r>
        <w:rPr>
          <w:rFonts w:eastAsia="方正黑体_GBK"/>
          <w:color w:val="000000" w:themeColor="text1"/>
          <w:sz w:val="32"/>
          <w:szCs w:val="32"/>
          <w14:textFill>
            <w14:solidFill>
              <w14:schemeClr w14:val="tx1"/>
            </w14:solidFill>
          </w14:textFill>
        </w:rPr>
        <w:t>投标</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（一）投标人应提供的投标文件</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公司营业执照复印件1份；</w:t>
      </w:r>
      <w:r>
        <w:rPr>
          <w:rFonts w:hint="eastAsia" w:eastAsia="方正仿宋_GBK"/>
          <w:color w:val="000000" w:themeColor="text1"/>
          <w:sz w:val="32"/>
          <w:szCs w:val="32"/>
          <w:lang w:val="en-US" w:eastAsia="zh-CN"/>
          <w14:textFill>
            <w14:solidFill>
              <w14:schemeClr w14:val="tx1"/>
            </w14:solidFill>
          </w14:textFill>
        </w:rPr>
        <w:t>软件开发资质1份；</w:t>
      </w:r>
      <w:r>
        <w:rPr>
          <w:rFonts w:eastAsia="方正仿宋_GBK"/>
          <w:color w:val="000000" w:themeColor="text1"/>
          <w:sz w:val="32"/>
          <w:szCs w:val="32"/>
          <w14:textFill>
            <w14:solidFill>
              <w14:schemeClr w14:val="tx1"/>
            </w14:solidFill>
          </w14:textFill>
        </w:rPr>
        <w:t>法定代表人身份证明1份；法人代表授权委托书1份；经办人身份证复印件1份；</w:t>
      </w:r>
      <w:r>
        <w:rPr>
          <w:rFonts w:hint="eastAsia" w:eastAsia="方正仿宋_GBK"/>
          <w:color w:val="000000" w:themeColor="text1"/>
          <w:sz w:val="32"/>
          <w:szCs w:val="32"/>
          <w14:textFill>
            <w14:solidFill>
              <w14:schemeClr w14:val="tx1"/>
            </w14:solidFill>
          </w14:textFill>
        </w:rPr>
        <w:t>建设方案</w:t>
      </w:r>
      <w:r>
        <w:rPr>
          <w:rFonts w:eastAsia="方正仿宋_GBK"/>
          <w:color w:val="000000" w:themeColor="text1"/>
          <w:sz w:val="32"/>
          <w:szCs w:val="32"/>
          <w14:textFill>
            <w14:solidFill>
              <w14:schemeClr w14:val="tx1"/>
            </w14:solidFill>
          </w14:textFill>
        </w:rPr>
        <w:t>1份；</w:t>
      </w:r>
      <w:r>
        <w:rPr>
          <w:rFonts w:hint="eastAsia" w:eastAsia="方正仿宋_GBK"/>
          <w:color w:val="000000" w:themeColor="text1"/>
          <w:sz w:val="32"/>
          <w:szCs w:val="32"/>
          <w14:textFill>
            <w14:solidFill>
              <w14:schemeClr w14:val="tx1"/>
            </w14:solidFill>
          </w14:textFill>
        </w:rPr>
        <w:t>报价书1份；</w:t>
      </w:r>
      <w:r>
        <w:rPr>
          <w:rFonts w:eastAsia="方正仿宋_GBK"/>
          <w:color w:val="000000" w:themeColor="text1"/>
          <w:sz w:val="32"/>
          <w:szCs w:val="32"/>
          <w14:textFill>
            <w14:solidFill>
              <w14:schemeClr w14:val="tx1"/>
            </w14:solidFill>
          </w14:textFill>
        </w:rPr>
        <w:t>以上资料均需加盖公章。</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（二）投标保证金</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投标人投标时需向华牧资产公司缴纳投标保证金人民币：10000元（大写：壹万元整），在开标后15个工作日内退还除中标人外的其他投标人的投标保证金（保证金不计利息）。中标人所缴纳的保证金由华牧资产公司无息入账，合同签订后10个工作日内退还中标人，中标人如放弃签订合同，则视为违约，即投标保证金不予退还。</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（三）投标费用</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投标人自行负责投标过程中的一切费用。</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黑体_GBK"/>
          <w:color w:val="000000" w:themeColor="text1"/>
          <w:sz w:val="32"/>
          <w:szCs w:val="32"/>
          <w:lang w:val="en-US" w:eastAsia="zh-CN"/>
          <w14:textFill>
            <w14:solidFill>
              <w14:schemeClr w14:val="tx1"/>
            </w14:solidFill>
          </w14:textFill>
        </w:rPr>
        <w:t>九</w:t>
      </w:r>
      <w:r>
        <w:rPr>
          <w:rFonts w:eastAsia="方正黑体_GBK"/>
          <w:color w:val="000000" w:themeColor="text1"/>
          <w:sz w:val="32"/>
          <w:szCs w:val="32"/>
          <w14:textFill>
            <w14:solidFill>
              <w14:schemeClr w14:val="tx1"/>
            </w14:solidFill>
          </w14:textFill>
        </w:rPr>
        <w:t>、评标</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（一）报价要求</w:t>
      </w:r>
    </w:p>
    <w:p>
      <w:pPr>
        <w:spacing w:line="560"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    本次报价需为人民币报价，最高控制价为：350000元（大写：叁拾伍万元整），即实行交钥匙工程、包干价。</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（二）评标方法</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本项目采取综合</w:t>
      </w:r>
      <w:r>
        <w:rPr>
          <w:rFonts w:hint="eastAsia" w:eastAsia="方正仿宋_GBK"/>
          <w:color w:val="000000" w:themeColor="text1"/>
          <w:sz w:val="32"/>
          <w:szCs w:val="32"/>
          <w:lang w:val="en-US" w:eastAsia="zh-CN"/>
          <w14:textFill>
            <w14:solidFill>
              <w14:schemeClr w14:val="tx1"/>
            </w14:solidFill>
          </w14:textFill>
        </w:rPr>
        <w:t>竞争性</w:t>
      </w:r>
      <w:r>
        <w:rPr>
          <w:rFonts w:eastAsia="方正仿宋_GBK"/>
          <w:color w:val="000000" w:themeColor="text1"/>
          <w:sz w:val="32"/>
          <w:szCs w:val="32"/>
          <w14:textFill>
            <w14:solidFill>
              <w14:schemeClr w14:val="tx1"/>
            </w14:solidFill>
          </w14:textFill>
        </w:rPr>
        <w:t>比选法进行评标。即由项目评标小组根据投标人的建设方案、报价情况</w:t>
      </w:r>
      <w:r>
        <w:rPr>
          <w:rFonts w:hint="eastAsia" w:eastAsia="方正仿宋_GBK"/>
          <w:color w:val="000000" w:themeColor="text1"/>
          <w:sz w:val="32"/>
          <w:szCs w:val="32"/>
          <w:lang w:val="en-US" w:eastAsia="zh-CN"/>
          <w14:textFill>
            <w14:solidFill>
              <w14:schemeClr w14:val="tx1"/>
            </w14:solidFill>
          </w14:textFill>
        </w:rPr>
        <w:t>等</w:t>
      </w:r>
      <w:r>
        <w:rPr>
          <w:rFonts w:eastAsia="方正仿宋_GBK"/>
          <w:color w:val="000000" w:themeColor="text1"/>
          <w:sz w:val="32"/>
          <w:szCs w:val="32"/>
          <w14:textFill>
            <w14:solidFill>
              <w14:schemeClr w14:val="tx1"/>
            </w14:solidFill>
          </w14:textFill>
        </w:rPr>
        <w:t>综合评判。</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（三）确定中标人</w:t>
      </w:r>
    </w:p>
    <w:p>
      <w:pPr>
        <w:spacing w:line="560" w:lineRule="exact"/>
        <w:ind w:firstLine="640" w:firstLineChars="200"/>
        <w:rPr>
          <w:color w:val="000000" w:themeColor="text1"/>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根据</w:t>
      </w:r>
      <w:r>
        <w:rPr>
          <w:rFonts w:eastAsia="方正仿宋_GBK"/>
          <w:color w:val="000000" w:themeColor="text1"/>
          <w:sz w:val="32"/>
          <w:szCs w:val="32"/>
          <w14:textFill>
            <w14:solidFill>
              <w14:schemeClr w14:val="tx1"/>
            </w14:solidFill>
          </w14:textFill>
        </w:rPr>
        <w:t>项目评标小组综合评判</w:t>
      </w:r>
      <w:r>
        <w:rPr>
          <w:rFonts w:hint="eastAsia" w:eastAsia="方正仿宋_GBK"/>
          <w:color w:val="000000" w:themeColor="text1"/>
          <w:sz w:val="32"/>
          <w:szCs w:val="32"/>
          <w14:textFill>
            <w14:solidFill>
              <w14:schemeClr w14:val="tx1"/>
            </w14:solidFill>
          </w14:textFill>
        </w:rPr>
        <w:t>结果</w:t>
      </w:r>
      <w:r>
        <w:rPr>
          <w:rFonts w:eastAsia="方正仿宋_GBK"/>
          <w:color w:val="000000" w:themeColor="text1"/>
          <w:sz w:val="32"/>
          <w:szCs w:val="32"/>
          <w14:textFill>
            <w14:solidFill>
              <w14:schemeClr w14:val="tx1"/>
            </w14:solidFill>
          </w14:textFill>
        </w:rPr>
        <w:t>，确定第一中标候选人，以此类推，确定中标候选人名次，并按名次作为中标候选人的顺序。</w:t>
      </w:r>
    </w:p>
    <w:p>
      <w:pPr>
        <w:numPr>
          <w:ilvl w:val="0"/>
          <w:numId w:val="0"/>
        </w:numPr>
        <w:spacing w:line="560" w:lineRule="exact"/>
        <w:ind w:left="0" w:firstLine="640" w:firstLineChars="200"/>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lang w:val="en-US" w:eastAsia="zh-CN"/>
          <w14:textFill>
            <w14:solidFill>
              <w14:schemeClr w14:val="tx1"/>
            </w14:solidFill>
          </w14:textFill>
        </w:rPr>
        <w:t>十、</w:t>
      </w:r>
      <w:r>
        <w:rPr>
          <w:rFonts w:hint="eastAsia" w:eastAsia="方正黑体_GBK"/>
          <w:color w:val="000000" w:themeColor="text1"/>
          <w:sz w:val="32"/>
          <w:szCs w:val="32"/>
          <w14:textFill>
            <w14:solidFill>
              <w14:schemeClr w14:val="tx1"/>
            </w14:solidFill>
          </w14:textFill>
        </w:rPr>
        <w:t>评分标准</w:t>
      </w:r>
    </w:p>
    <w:tbl>
      <w:tblPr>
        <w:tblStyle w:val="8"/>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64"/>
        <w:gridCol w:w="876"/>
        <w:gridCol w:w="587"/>
        <w:gridCol w:w="3086"/>
        <w:gridCol w:w="1714"/>
        <w:gridCol w:w="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pPr>
              <w:spacing w:line="360" w:lineRule="auto"/>
              <w:ind w:right="183" w:rightChars="87" w:firstLine="28"/>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708" w:type="pct"/>
            <w:vAlign w:val="center"/>
          </w:tcPr>
          <w:p>
            <w:pPr>
              <w:spacing w:line="360" w:lineRule="auto"/>
              <w:ind w:firstLine="28"/>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评分因素</w:t>
            </w:r>
          </w:p>
          <w:p>
            <w:pPr>
              <w:spacing w:line="360" w:lineRule="auto"/>
              <w:ind w:firstLine="28"/>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及权重</w:t>
            </w:r>
          </w:p>
        </w:tc>
        <w:tc>
          <w:tcPr>
            <w:tcW w:w="533" w:type="pct"/>
            <w:vAlign w:val="center"/>
          </w:tcPr>
          <w:p>
            <w:pPr>
              <w:spacing w:line="360" w:lineRule="auto"/>
              <w:ind w:firstLine="28"/>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2234" w:type="pct"/>
            <w:gridSpan w:val="2"/>
            <w:vAlign w:val="center"/>
          </w:tcPr>
          <w:p>
            <w:pPr>
              <w:spacing w:line="360" w:lineRule="auto"/>
              <w:ind w:firstLine="28"/>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评分标准</w:t>
            </w:r>
          </w:p>
        </w:tc>
        <w:tc>
          <w:tcPr>
            <w:tcW w:w="1068" w:type="pct"/>
            <w:gridSpan w:val="2"/>
            <w:vAlign w:val="center"/>
          </w:tcPr>
          <w:p>
            <w:pPr>
              <w:pStyle w:val="14"/>
              <w:spacing w:before="0"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08"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w:t>
            </w:r>
          </w:p>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533"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2234" w:type="pct"/>
            <w:gridSpan w:val="2"/>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有效的投标报价中的最低价为评标基准价，按照下列公式计算每个投标人的投标价格得分。</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投标报价得分＝（评标基准价/投标报价）×价格权重×100。</w:t>
            </w:r>
          </w:p>
        </w:tc>
        <w:tc>
          <w:tcPr>
            <w:tcW w:w="1068" w:type="pct"/>
            <w:gridSpan w:val="2"/>
            <w:vAlign w:val="center"/>
          </w:tcPr>
          <w:p>
            <w:pPr>
              <w:spacing w:line="360" w:lineRule="auto"/>
              <w:ind w:left="-38"/>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457" w:type="pct"/>
            <w:vMerge w:val="restart"/>
            <w:vAlign w:val="center"/>
          </w:tcPr>
          <w:p>
            <w:pPr>
              <w:spacing w:line="360" w:lineRule="auto"/>
              <w:ind w:right="153" w:rightChars="73"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08" w:type="pct"/>
            <w:vMerge w:val="restar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技术部分</w:t>
            </w:r>
          </w:p>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c>
          <w:tcPr>
            <w:tcW w:w="533" w:type="pct"/>
            <w:vAlign w:val="center"/>
          </w:tcPr>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2234" w:type="pct"/>
            <w:gridSpan w:val="2"/>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起评分：</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有效投标人的起评分为6分。</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扣分条款：</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技术参数不满足招标文件建设内容（本招标文件第二（三）部分）要求的，每负偏离一条从起评分中扣除2分,扣完为止。</w:t>
            </w:r>
          </w:p>
        </w:tc>
        <w:tc>
          <w:tcPr>
            <w:tcW w:w="1068" w:type="pct"/>
            <w:gridSpan w:val="2"/>
            <w:vAlign w:val="center"/>
          </w:tcPr>
          <w:p>
            <w:pPr>
              <w:spacing w:line="360" w:lineRule="auto"/>
              <w:ind w:firstLine="28"/>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457" w:type="pct"/>
            <w:vMerge w:val="continue"/>
            <w:vAlign w:val="center"/>
          </w:tcPr>
          <w:p>
            <w:pPr>
              <w:spacing w:line="360" w:lineRule="auto"/>
              <w:ind w:right="153" w:rightChars="73"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234" w:type="pct"/>
            <w:gridSpan w:val="2"/>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项目理解程度和工作重点难点分析(4分)：</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w:t>
            </w:r>
            <w:r>
              <w:rPr>
                <w:rFonts w:hint="eastAsia"/>
                <w:color w:val="000000" w:themeColor="text1"/>
                <w:szCs w:val="21"/>
                <w:lang w:val="en-US" w:eastAsia="zh-CN"/>
                <w14:textFill>
                  <w14:solidFill>
                    <w14:schemeClr w14:val="tx1"/>
                  </w14:solidFill>
                </w14:textFill>
              </w:rPr>
              <w:t>投标人</w:t>
            </w:r>
            <w:r>
              <w:rPr>
                <w:rFonts w:hint="eastAsia"/>
                <w:color w:val="000000" w:themeColor="text1"/>
                <w:szCs w:val="21"/>
                <w14:textFill>
                  <w14:solidFill>
                    <w14:schemeClr w14:val="tx1"/>
                  </w14:solidFill>
                </w14:textFill>
              </w:rPr>
              <w:t>提供的相关文档内容体现的其对项目需求的理解程度进行评分。必须包含整体架构或拓扑结构图、业务流程图、工作重点分析说明、工作难点分析说明等内容。</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（优得4分，良得2分，一般得1分，差或未提供得0分）</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注：得优和良的均只有1家。</w:t>
            </w:r>
          </w:p>
        </w:tc>
        <w:tc>
          <w:tcPr>
            <w:tcW w:w="1068" w:type="pct"/>
            <w:gridSpan w:val="2"/>
            <w:vAlign w:val="center"/>
          </w:tcPr>
          <w:p>
            <w:pPr>
              <w:spacing w:line="360" w:lineRule="auto"/>
              <w:ind w:firstLine="28"/>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234" w:type="pct"/>
            <w:gridSpan w:val="2"/>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资产建档和客户建档解决方案（5分）：</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必须包含资产档案、客户档案、信用管理等内容。</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（优得5分，良得3分，一般得1分，差或未提供得0分）</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注：得优和良的均只有1家。</w:t>
            </w:r>
          </w:p>
        </w:tc>
        <w:tc>
          <w:tcPr>
            <w:tcW w:w="1068" w:type="pct"/>
            <w:gridSpan w:val="2"/>
            <w:vAlign w:val="center"/>
          </w:tcPr>
          <w:p>
            <w:pPr>
              <w:spacing w:line="360" w:lineRule="auto"/>
              <w:ind w:firstLine="28"/>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234" w:type="pct"/>
            <w:gridSpan w:val="2"/>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房屋维修解决方案（5分）：</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必须包含</w:t>
            </w:r>
            <w:r>
              <w:rPr>
                <w:color w:val="000000" w:themeColor="text1"/>
                <w:szCs w:val="21"/>
                <w14:textFill>
                  <w14:solidFill>
                    <w14:schemeClr w14:val="tx1"/>
                  </w14:solidFill>
                </w14:textFill>
              </w:rPr>
              <w:t>报修</w:t>
            </w:r>
            <w:r>
              <w:rPr>
                <w:rFonts w:hint="eastAsia"/>
                <w:color w:val="000000" w:themeColor="text1"/>
                <w:szCs w:val="21"/>
                <w14:textFill>
                  <w14:solidFill>
                    <w14:schemeClr w14:val="tx1"/>
                  </w14:solidFill>
                </w14:textFill>
              </w:rPr>
              <w:t>、审批、实施、交付、结算等内容。</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（优得5分，良得3分，一般得1分，差或未提供得0分）</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注：得优和良的均只有1家。</w:t>
            </w:r>
          </w:p>
        </w:tc>
        <w:tc>
          <w:tcPr>
            <w:tcW w:w="1068" w:type="pct"/>
            <w:gridSpan w:val="2"/>
            <w:vAlign w:val="center"/>
          </w:tcPr>
          <w:p>
            <w:pPr>
              <w:spacing w:line="360" w:lineRule="auto"/>
              <w:ind w:firstLine="28"/>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2234" w:type="pct"/>
            <w:gridSpan w:val="2"/>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租赁管理解决方案（8分）：</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必须包含租赁合同、租金、押金、</w:t>
            </w:r>
            <w:r>
              <w:rPr>
                <w:color w:val="000000" w:themeColor="text1"/>
                <w:szCs w:val="21"/>
                <w14:textFill>
                  <w14:solidFill>
                    <w14:schemeClr w14:val="tx1"/>
                  </w14:solidFill>
                </w14:textFill>
              </w:rPr>
              <w:t>物业费、管理费</w:t>
            </w:r>
            <w:r>
              <w:rPr>
                <w:rFonts w:hint="eastAsia"/>
                <w:color w:val="000000" w:themeColor="text1"/>
                <w:szCs w:val="21"/>
                <w14:textFill>
                  <w14:solidFill>
                    <w14:schemeClr w14:val="tx1"/>
                  </w14:solidFill>
                </w14:textFill>
              </w:rPr>
              <w:t>管理等内容。</w:t>
            </w:r>
          </w:p>
          <w:p>
            <w:pPr>
              <w:ind w:firstLine="134" w:firstLineChars="64"/>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(优得8分，良得5分，一般得2分，差或未提供得0分)</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注：得优和良的均只有1家。</w:t>
            </w:r>
          </w:p>
        </w:tc>
        <w:tc>
          <w:tcPr>
            <w:tcW w:w="1068" w:type="pct"/>
            <w:gridSpan w:val="2"/>
            <w:vAlign w:val="center"/>
          </w:tcPr>
          <w:p>
            <w:pPr>
              <w:spacing w:line="360" w:lineRule="auto"/>
              <w:ind w:firstLine="28"/>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234" w:type="pct"/>
            <w:gridSpan w:val="2"/>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经营考核解决方案（4分）：</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必须包含考核指标、评分等内容。</w:t>
            </w:r>
          </w:p>
          <w:p>
            <w:pPr>
              <w:ind w:firstLine="134" w:firstLineChars="64"/>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(优得4分，良得2分，一般得1分，差或未提供得0分)</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注：得优和良的均只有1家。</w:t>
            </w:r>
          </w:p>
        </w:tc>
        <w:tc>
          <w:tcPr>
            <w:tcW w:w="1068" w:type="pct"/>
            <w:gridSpan w:val="2"/>
            <w:vAlign w:val="center"/>
          </w:tcPr>
          <w:p>
            <w:pPr>
              <w:spacing w:line="360" w:lineRule="auto"/>
              <w:ind w:firstLine="28"/>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234" w:type="pct"/>
            <w:gridSpan w:val="2"/>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分析与看板解决方案</w:t>
            </w:r>
            <w:r>
              <w:rPr>
                <w:rFonts w:hint="eastAsia" w:ascii="宋体" w:hAnsi="宋体"/>
                <w:color w:val="000000" w:themeColor="text1"/>
                <w:szCs w:val="21"/>
                <w14:textFill>
                  <w14:solidFill>
                    <w14:schemeClr w14:val="tx1"/>
                  </w14:solidFill>
                </w14:textFill>
              </w:rPr>
              <w:t>(6分)</w:t>
            </w:r>
            <w:r>
              <w:rPr>
                <w:rFonts w:hint="eastAsia"/>
                <w:color w:val="000000" w:themeColor="text1"/>
                <w:szCs w:val="21"/>
                <w14:textFill>
                  <w14:solidFill>
                    <w14:schemeClr w14:val="tx1"/>
                  </w14:solidFill>
                </w14:textFill>
              </w:rPr>
              <w:t>：</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必须包含报表设计、打印、看板展示等内容。</w:t>
            </w:r>
          </w:p>
          <w:p>
            <w:pPr>
              <w:ind w:firstLine="134" w:firstLineChars="64"/>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(优得6分，良得4分，一般得2分，差或未提供得0分)</w:t>
            </w:r>
          </w:p>
          <w:p>
            <w:pPr>
              <w:ind w:leftChars="-2" w:hanging="4" w:hangingChars="2"/>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注：得优和良的均只有1家。</w:t>
            </w:r>
          </w:p>
        </w:tc>
        <w:tc>
          <w:tcPr>
            <w:tcW w:w="1068" w:type="pct"/>
            <w:gridSpan w:val="2"/>
            <w:vAlign w:val="center"/>
          </w:tcPr>
          <w:p>
            <w:pPr>
              <w:spacing w:line="360" w:lineRule="auto"/>
              <w:ind w:firstLine="28"/>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234" w:type="pct"/>
            <w:gridSpan w:val="2"/>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信息发布解决方案</w:t>
            </w:r>
            <w:r>
              <w:rPr>
                <w:rFonts w:hint="eastAsia" w:ascii="宋体" w:hAnsi="宋体"/>
                <w:color w:val="000000" w:themeColor="text1"/>
                <w:szCs w:val="21"/>
                <w14:textFill>
                  <w14:solidFill>
                    <w14:schemeClr w14:val="tx1"/>
                  </w14:solidFill>
                </w14:textFill>
              </w:rPr>
              <w:t>(3分)</w:t>
            </w:r>
            <w:r>
              <w:rPr>
                <w:rFonts w:hint="eastAsia"/>
                <w:color w:val="000000" w:themeColor="text1"/>
                <w:szCs w:val="21"/>
                <w14:textFill>
                  <w14:solidFill>
                    <w14:schemeClr w14:val="tx1"/>
                  </w14:solidFill>
                </w14:textFill>
              </w:rPr>
              <w:t>：</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必须包含</w:t>
            </w:r>
            <w:r>
              <w:rPr>
                <w:color w:val="000000" w:themeColor="text1"/>
                <w:szCs w:val="21"/>
                <w14:textFill>
                  <w14:solidFill>
                    <w14:schemeClr w14:val="tx1"/>
                  </w14:solidFill>
                </w14:textFill>
              </w:rPr>
              <w:t>通知公告</w:t>
            </w:r>
            <w:r>
              <w:rPr>
                <w:rFonts w:hint="eastAsia"/>
                <w:color w:val="000000" w:themeColor="text1"/>
                <w:szCs w:val="21"/>
                <w14:textFill>
                  <w14:solidFill>
                    <w14:schemeClr w14:val="tx1"/>
                  </w14:solidFill>
                </w14:textFill>
              </w:rPr>
              <w:t>、消息提醒等内容。</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(优得3分，良得2分，一般得1分，差或未提供得0分)</w:t>
            </w:r>
          </w:p>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注：得优和良的均只有1家。</w:t>
            </w:r>
          </w:p>
        </w:tc>
        <w:tc>
          <w:tcPr>
            <w:tcW w:w="1068" w:type="pct"/>
            <w:gridSpan w:val="2"/>
            <w:vAlign w:val="center"/>
          </w:tcPr>
          <w:p>
            <w:pPr>
              <w:spacing w:line="360" w:lineRule="auto"/>
              <w:ind w:firstLine="28"/>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234" w:type="pct"/>
            <w:gridSpan w:val="2"/>
            <w:vAlign w:val="center"/>
          </w:tcPr>
          <w:p>
            <w:pPr>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系统集成和升级拓展解决方案</w:t>
            </w:r>
            <w:r>
              <w:rPr>
                <w:rFonts w:hint="eastAsia" w:ascii="宋体" w:hAnsi="宋体"/>
                <w:color w:val="000000" w:themeColor="text1"/>
                <w:szCs w:val="21"/>
                <w14:textFill>
                  <w14:solidFill>
                    <w14:schemeClr w14:val="tx1"/>
                  </w14:solidFill>
                </w14:textFill>
              </w:rPr>
              <w:t>(3分)</w:t>
            </w:r>
            <w:r>
              <w:rPr>
                <w:rFonts w:hint="eastAsia"/>
                <w:color w:val="000000" w:themeColor="text1"/>
                <w:szCs w:val="21"/>
                <w14:textFill>
                  <w14:solidFill>
                    <w14:schemeClr w14:val="tx1"/>
                  </w14:solidFill>
                </w14:textFill>
              </w:rPr>
              <w:t>：</w:t>
            </w:r>
          </w:p>
          <w:p>
            <w:pPr>
              <w:ind w:firstLine="134" w:firstLineChars="64"/>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(优得3分，良得2分，一般得1分，差或未提供得0分)</w:t>
            </w:r>
          </w:p>
          <w:p>
            <w:pPr>
              <w:ind w:leftChars="-2" w:hanging="4" w:hangingChars="2"/>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注：得优和良的均只有1家。</w:t>
            </w:r>
          </w:p>
        </w:tc>
        <w:tc>
          <w:tcPr>
            <w:tcW w:w="1068" w:type="pct"/>
            <w:gridSpan w:val="2"/>
            <w:vAlign w:val="center"/>
          </w:tcPr>
          <w:p>
            <w:pPr>
              <w:spacing w:line="360" w:lineRule="auto"/>
              <w:ind w:firstLine="28"/>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234" w:type="pct"/>
            <w:gridSpan w:val="2"/>
            <w:vAlign w:val="center"/>
          </w:tcPr>
          <w:p>
            <w:pPr>
              <w:spacing w:line="360" w:lineRule="auto"/>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产品展示(6分)</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根据供应商提供的类似产品实际图片或视频进行评分，必须包含</w:t>
            </w:r>
            <w:r>
              <w:rPr>
                <w:rFonts w:hint="eastAsia" w:ascii="宋体" w:hAnsi="宋体"/>
                <w:b/>
                <w:color w:val="000000" w:themeColor="text1"/>
                <w:szCs w:val="21"/>
                <w14:textFill>
                  <w14:solidFill>
                    <w14:schemeClr w14:val="tx1"/>
                  </w14:solidFill>
                </w14:textFill>
              </w:rPr>
              <w:t>房屋卡片、房屋维修、资产租赁</w:t>
            </w:r>
            <w:r>
              <w:rPr>
                <w:rFonts w:hint="eastAsia" w:ascii="宋体" w:hAnsi="宋体"/>
                <w:color w:val="000000" w:themeColor="text1"/>
                <w:szCs w:val="21"/>
                <w14:textFill>
                  <w14:solidFill>
                    <w14:schemeClr w14:val="tx1"/>
                  </w14:solidFill>
                </w14:textFill>
              </w:rPr>
              <w:t>等内容。</w:t>
            </w:r>
          </w:p>
          <w:p>
            <w:pPr>
              <w:spacing w:line="360" w:lineRule="auto"/>
              <w:ind w:leftChars="-2" w:hanging="4" w:hangingChars="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（优得6分，良得3分，一般得1分，差或未提供得0分）</w:t>
            </w:r>
          </w:p>
          <w:p>
            <w:pPr>
              <w:jc w:val="lef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注：得优和良的均只有1家。</w:t>
            </w:r>
          </w:p>
        </w:tc>
        <w:tc>
          <w:tcPr>
            <w:tcW w:w="1068" w:type="pct"/>
            <w:gridSpan w:val="2"/>
            <w:vAlign w:val="center"/>
          </w:tcPr>
          <w:p>
            <w:pPr>
              <w:spacing w:line="360" w:lineRule="auto"/>
              <w:ind w:firstLine="28"/>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1900" w:hRule="atLeast"/>
          <w:jc w:val="center"/>
        </w:trPr>
        <w:tc>
          <w:tcPr>
            <w:tcW w:w="457" w:type="pct"/>
            <w:vMerge w:val="restar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708" w:type="pct"/>
            <w:vMerge w:val="restar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商务部分</w:t>
            </w:r>
          </w:p>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533" w:type="pct"/>
            <w:vMerge w:val="restar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企业资质（7%）</w:t>
            </w:r>
          </w:p>
        </w:tc>
        <w:tc>
          <w:tcPr>
            <w:tcW w:w="357"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877" w:type="pct"/>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供应商具有高新技术企业证书，有得2分、没有不得分；</w:t>
            </w:r>
          </w:p>
        </w:tc>
        <w:tc>
          <w:tcPr>
            <w:tcW w:w="1043" w:type="pct"/>
            <w:vAlign w:val="center"/>
          </w:tcPr>
          <w:p>
            <w:pPr>
              <w:spacing w:line="360" w:lineRule="auto"/>
              <w:rPr>
                <w:rFonts w:ascii="宋体" w:hAnsi="宋体"/>
                <w:color w:val="000000" w:themeColor="text1"/>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983"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357"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877" w:type="pct"/>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供应商具有质量管理体系认证证书（质量管理体系认证范围：计算应用软件开发、信息系统集成及技术服务），有得2分、没有不得分；</w:t>
            </w:r>
          </w:p>
        </w:tc>
        <w:tc>
          <w:tcPr>
            <w:tcW w:w="1043" w:type="pct"/>
            <w:vAlign w:val="center"/>
          </w:tcPr>
          <w:p>
            <w:pPr>
              <w:spacing w:line="360" w:lineRule="auto"/>
              <w:rPr>
                <w:rFonts w:ascii="宋体" w:hAnsi="宋体"/>
                <w:color w:val="000000" w:themeColor="text1"/>
                <w:szCs w:val="2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368"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357"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877" w:type="pct"/>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供应商具有建筑业企业资质证书（</w:t>
            </w:r>
            <w:r>
              <w:rPr>
                <w:rFonts w:ascii="Helvetica" w:hAnsi="Helvetica" w:cs="Helvetica"/>
                <w:color w:val="000000" w:themeColor="text1"/>
                <w:szCs w:val="21"/>
                <w:shd w:val="clear" w:color="auto" w:fill="FFFFFF"/>
                <w14:textFill>
                  <w14:solidFill>
                    <w14:schemeClr w14:val="tx1"/>
                  </w14:solidFill>
                </w14:textFill>
              </w:rPr>
              <w:t>电子与智能化工程专业承包、消防设施工程专业承包</w:t>
            </w:r>
            <w:r>
              <w:rPr>
                <w:rFonts w:hint="eastAsia" w:ascii="Helvetica" w:hAnsi="Helvetica" w:cs="Helvetica"/>
                <w:color w:val="000000" w:themeColor="text1"/>
                <w:szCs w:val="21"/>
                <w:shd w:val="clear" w:color="auto" w:fill="FFFFFF"/>
                <w14:textFill>
                  <w14:solidFill>
                    <w14:schemeClr w14:val="tx1"/>
                  </w14:solidFill>
                </w14:textFill>
              </w:rPr>
              <w:t>、</w:t>
            </w:r>
            <w:r>
              <w:rPr>
                <w:rFonts w:ascii="Helvetica" w:hAnsi="Helvetica" w:cs="Helvetica"/>
                <w:color w:val="000000" w:themeColor="text1"/>
                <w:szCs w:val="21"/>
                <w:shd w:val="clear" w:color="auto" w:fill="FFFFFF"/>
                <w14:textFill>
                  <w14:solidFill>
                    <w14:schemeClr w14:val="tx1"/>
                  </w14:solidFill>
                </w14:textFill>
              </w:rPr>
              <w:t>建筑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"https://baike.baidu.com/item/%E6%9C%BA%E7%94%B5%E5%AE%89%E8%A3%85%E5%B7%A5%E7%A8%8B/15442493" \t "_blank" </w:instrText>
            </w:r>
            <w:r>
              <w:rPr>
                <w:color w:val="000000" w:themeColor="text1"/>
                <w14:textFill>
                  <w14:solidFill>
                    <w14:schemeClr w14:val="tx1"/>
                  </w14:solidFill>
                </w14:textFill>
              </w:rPr>
              <w:fldChar w:fldCharType="separate"/>
            </w:r>
            <w:r>
              <w:rPr>
                <w:rFonts w:ascii="Helvetica" w:hAnsi="Helvetica" w:cs="Helvetica"/>
                <w:color w:val="000000" w:themeColor="text1"/>
                <w:szCs w:val="21"/>
                <w:shd w:val="clear" w:color="auto" w:fill="FFFFFF"/>
                <w14:textFill>
                  <w14:solidFill>
                    <w14:schemeClr w14:val="tx1"/>
                  </w14:solidFill>
                </w14:textFill>
              </w:rPr>
              <w:t>机电安装工程</w:t>
            </w:r>
            <w:r>
              <w:rPr>
                <w:rFonts w:ascii="Helvetica" w:hAnsi="Helvetica" w:cs="Helvetica"/>
                <w:color w:val="000000" w:themeColor="text1"/>
                <w:szCs w:val="21"/>
                <w:shd w:val="clear" w:color="auto" w:fill="FFFFFF"/>
                <w14:textFill>
                  <w14:solidFill>
                    <w14:schemeClr w14:val="tx1"/>
                  </w14:solidFill>
                </w14:textFill>
              </w:rPr>
              <w:fldChar w:fldCharType="end"/>
            </w:r>
            <w:r>
              <w:rPr>
                <w:rFonts w:hint="eastAsia" w:ascii="Helvetica" w:hAnsi="Helvetica" w:cs="Helvetica"/>
                <w:color w:val="000000" w:themeColor="text1"/>
                <w:szCs w:val="21"/>
                <w:shd w:val="clear" w:color="auto" w:fill="FFFFFF"/>
                <w14:textFill>
                  <w14:solidFill>
                    <w14:schemeClr w14:val="tx1"/>
                  </w14:solidFill>
                </w14:textFill>
              </w:rPr>
              <w:t>之一</w:t>
            </w:r>
            <w:r>
              <w:rPr>
                <w:rFonts w:hint="eastAsia" w:ascii="宋体" w:hAnsi="宋体"/>
                <w:color w:val="000000" w:themeColor="text1"/>
                <w:szCs w:val="21"/>
                <w14:textFill>
                  <w14:solidFill>
                    <w14:schemeClr w14:val="tx1"/>
                  </w14:solidFill>
                </w14:textFill>
              </w:rPr>
              <w:t>），有得1分、没有不得分；</w:t>
            </w:r>
          </w:p>
        </w:tc>
        <w:tc>
          <w:tcPr>
            <w:tcW w:w="1043" w:type="pct"/>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1875"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357"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877" w:type="pct"/>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供应商具有计算机软件著作权证书10个及以上的, 得2分; </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 xml:space="preserve">个及以上的, 得1分; </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个及以下不得分.</w:t>
            </w:r>
          </w:p>
        </w:tc>
        <w:tc>
          <w:tcPr>
            <w:tcW w:w="1043" w:type="pct"/>
            <w:vAlign w:val="center"/>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558"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w:t>
            </w:r>
          </w:p>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57"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877" w:type="pct"/>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投标人或</w:t>
            </w:r>
            <w:r>
              <w:rPr>
                <w:rFonts w:hint="eastAsia" w:ascii="宋体" w:hAnsi="宋体" w:cs="宋体"/>
                <w:b w:val="0"/>
                <w:bCs w:val="0"/>
                <w:color w:val="000000" w:themeColor="text1"/>
                <w:szCs w:val="21"/>
                <w14:textFill>
                  <w14:solidFill>
                    <w14:schemeClr w14:val="tx1"/>
                  </w14:solidFill>
                </w14:textFill>
              </w:rPr>
              <w:t>其投标产品3年内实施过单份合同金额</w:t>
            </w:r>
            <w:r>
              <w:rPr>
                <w:rFonts w:hint="eastAsia" w:ascii="宋体" w:hAnsi="宋体" w:cs="宋体"/>
                <w:b w:val="0"/>
                <w:bCs w:val="0"/>
                <w:color w:val="000000" w:themeColor="text1"/>
                <w:szCs w:val="21"/>
                <w:lang w:val="en-US" w:eastAsia="zh-CN"/>
                <w14:textFill>
                  <w14:solidFill>
                    <w14:schemeClr w14:val="tx1"/>
                  </w14:solidFill>
                </w14:textFill>
              </w:rPr>
              <w:t>5</w:t>
            </w:r>
            <w:r>
              <w:rPr>
                <w:rFonts w:ascii="宋体" w:hAnsi="宋体" w:cs="宋体"/>
                <w:b w:val="0"/>
                <w:bCs w:val="0"/>
                <w:color w:val="000000" w:themeColor="text1"/>
                <w:szCs w:val="21"/>
                <w14:textFill>
                  <w14:solidFill>
                    <w14:schemeClr w14:val="tx1"/>
                  </w14:solidFill>
                </w14:textFill>
              </w:rPr>
              <w:t>0</w:t>
            </w:r>
            <w:r>
              <w:rPr>
                <w:rFonts w:hint="eastAsia" w:ascii="宋体" w:hAnsi="宋体" w:cs="宋体"/>
                <w:b w:val="0"/>
                <w:bCs w:val="0"/>
                <w:color w:val="000000" w:themeColor="text1"/>
                <w:szCs w:val="21"/>
                <w14:textFill>
                  <w14:solidFill>
                    <w14:schemeClr w14:val="tx1"/>
                  </w14:solidFill>
                </w14:textFill>
              </w:rPr>
              <w:t>万元以上的信息化</w:t>
            </w:r>
            <w:r>
              <w:rPr>
                <w:rFonts w:hint="eastAsia" w:ascii="宋体" w:hAnsi="宋体"/>
                <w:b w:val="0"/>
                <w:bCs w:val="0"/>
                <w:color w:val="000000" w:themeColor="text1"/>
                <w:szCs w:val="21"/>
                <w14:textFill>
                  <w14:solidFill>
                    <w14:schemeClr w14:val="tx1"/>
                  </w14:solidFill>
                </w14:textFill>
              </w:rPr>
              <w:t>项目的</w:t>
            </w:r>
            <w:r>
              <w:rPr>
                <w:rFonts w:hint="eastAsia" w:ascii="宋体" w:hAnsi="宋体" w:cs="宋体"/>
                <w:b w:val="0"/>
                <w:bCs w:val="0"/>
                <w:color w:val="000000" w:themeColor="text1"/>
                <w:szCs w:val="21"/>
                <w14:textFill>
                  <w14:solidFill>
                    <w14:schemeClr w14:val="tx1"/>
                  </w14:solidFill>
                </w14:textFill>
              </w:rPr>
              <w:t>，每有1个得2</w:t>
            </w:r>
            <w:r>
              <w:rPr>
                <w:rFonts w:hint="eastAsia" w:ascii="宋体" w:hAnsi="宋体" w:cs="宋体"/>
                <w:color w:val="000000" w:themeColor="text1"/>
                <w:szCs w:val="21"/>
                <w14:textFill>
                  <w14:solidFill>
                    <w14:schemeClr w14:val="tx1"/>
                  </w14:solidFill>
                </w14:textFill>
              </w:rPr>
              <w:t>分，最多5分；</w:t>
            </w:r>
          </w:p>
        </w:tc>
        <w:tc>
          <w:tcPr>
            <w:tcW w:w="1043" w:type="pct"/>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须提供合同原件复印件加盖供应商鲜章，否则不得分。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558"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Merge w:val="restar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实施交付与售后服务</w:t>
            </w:r>
          </w:p>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能力</w:t>
            </w:r>
          </w:p>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357"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877" w:type="pct"/>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投标人的项目经理经验丰富，提供项目经理P</w:t>
            </w:r>
            <w:r>
              <w:rPr>
                <w:rFonts w:ascii="宋体" w:hAnsi="宋体" w:cs="宋体"/>
                <w:color w:val="000000" w:themeColor="text1"/>
                <w:szCs w:val="21"/>
                <w14:textFill>
                  <w14:solidFill>
                    <w14:schemeClr w14:val="tx1"/>
                  </w14:solidFill>
                </w14:textFill>
              </w:rPr>
              <w:t>MP</w:t>
            </w:r>
            <w:r>
              <w:rPr>
                <w:rFonts w:hint="eastAsia" w:ascii="宋体" w:hAnsi="宋体" w:cs="宋体"/>
                <w:color w:val="000000" w:themeColor="text1"/>
                <w:szCs w:val="21"/>
                <w14:textFill>
                  <w14:solidFill>
                    <w14:schemeClr w14:val="tx1"/>
                  </w14:solidFill>
                </w14:textFill>
              </w:rPr>
              <w:t>证书，每提供1个得1分，最高得2分；</w:t>
            </w:r>
          </w:p>
        </w:tc>
        <w:tc>
          <w:tcPr>
            <w:tcW w:w="1043" w:type="pct"/>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须提供员工社保证明和P</w:t>
            </w:r>
            <w:r>
              <w:rPr>
                <w:rFonts w:ascii="宋体" w:hAnsi="宋体"/>
                <w:color w:val="000000" w:themeColor="text1"/>
                <w:szCs w:val="21"/>
                <w14:textFill>
                  <w14:solidFill>
                    <w14:schemeClr w14:val="tx1"/>
                  </w14:solidFill>
                </w14:textFill>
              </w:rPr>
              <w:t>MP</w:t>
            </w:r>
            <w:r>
              <w:rPr>
                <w:rFonts w:hint="eastAsia" w:ascii="宋体" w:hAnsi="宋体"/>
                <w:color w:val="000000" w:themeColor="text1"/>
                <w:szCs w:val="21"/>
                <w14:textFill>
                  <w14:solidFill>
                    <w14:schemeClr w14:val="tx1"/>
                  </w14:solidFill>
                </w14:textFill>
              </w:rPr>
              <w:t>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trHeight w:val="558" w:hRule="atLeas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357"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877" w:type="pct"/>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投标人本地交付与服务能力：</w:t>
            </w:r>
            <w:r>
              <w:rPr>
                <w:rFonts w:ascii="宋体" w:hAnsi="宋体"/>
                <w:color w:val="000000" w:themeColor="text1"/>
                <w:szCs w:val="21"/>
                <w14:textFill>
                  <w14:solidFill>
                    <w14:schemeClr w14:val="tx1"/>
                  </w14:solidFill>
                </w14:textFill>
              </w:rPr>
              <w:t>总部设在重庆或在重庆本地设立有分公司</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且成立时间满</w:t>
            </w: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年的，得</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满</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年的，</w:t>
            </w:r>
            <w:r>
              <w:rPr>
                <w:rFonts w:hint="eastAsia" w:ascii="宋体" w:hAnsi="宋体"/>
                <w:color w:val="000000" w:themeColor="text1"/>
                <w:szCs w:val="21"/>
                <w14:textFill>
                  <w14:solidFill>
                    <w14:schemeClr w14:val="tx1"/>
                  </w14:solidFill>
                </w14:textFill>
              </w:rPr>
              <w:t>得2分；</w:t>
            </w:r>
            <w:r>
              <w:rPr>
                <w:rFonts w:ascii="宋体" w:hAnsi="宋体"/>
                <w:color w:val="000000" w:themeColor="text1"/>
                <w:szCs w:val="21"/>
                <w14:textFill>
                  <w14:solidFill>
                    <w14:schemeClr w14:val="tx1"/>
                  </w14:solidFill>
                </w14:textFill>
              </w:rPr>
              <w:t>满</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年的，</w:t>
            </w:r>
            <w:r>
              <w:rPr>
                <w:rFonts w:hint="eastAsia" w:ascii="宋体" w:hAnsi="宋体"/>
                <w:color w:val="000000" w:themeColor="text1"/>
                <w:szCs w:val="21"/>
                <w14:textFill>
                  <w14:solidFill>
                    <w14:schemeClr w14:val="tx1"/>
                  </w14:solidFill>
                </w14:textFill>
              </w:rPr>
              <w:t xml:space="preserve">得1分；不能满足的不得分； </w:t>
            </w:r>
          </w:p>
        </w:tc>
        <w:tc>
          <w:tcPr>
            <w:tcW w:w="1043" w:type="pct"/>
            <w:vAlign w:val="center"/>
          </w:tcPr>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提供营业执照复印件加盖投标人公章。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pct"/>
          <w:jc w:val="center"/>
        </w:trPr>
        <w:tc>
          <w:tcPr>
            <w:tcW w:w="457"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708"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533" w:type="pct"/>
            <w:vMerge w:val="continue"/>
            <w:vAlign w:val="center"/>
          </w:tcPr>
          <w:p>
            <w:pPr>
              <w:spacing w:line="360" w:lineRule="auto"/>
              <w:ind w:firstLine="28"/>
              <w:jc w:val="center"/>
              <w:rPr>
                <w:rFonts w:ascii="宋体" w:hAnsi="宋体"/>
                <w:color w:val="000000" w:themeColor="text1"/>
                <w:szCs w:val="21"/>
                <w14:textFill>
                  <w14:solidFill>
                    <w14:schemeClr w14:val="tx1"/>
                  </w14:solidFill>
                </w14:textFill>
              </w:rPr>
            </w:pPr>
          </w:p>
        </w:tc>
        <w:tc>
          <w:tcPr>
            <w:tcW w:w="357" w:type="pct"/>
            <w:vAlign w:val="center"/>
          </w:tcPr>
          <w:p>
            <w:pPr>
              <w:spacing w:line="360" w:lineRule="auto"/>
              <w:ind w:firstLine="28"/>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877" w:type="pct"/>
            <w:vAlign w:val="center"/>
          </w:tcPr>
          <w:p>
            <w:pPr>
              <w:ind w:leftChars="-2" w:hanging="4" w:hangingChars="2"/>
              <w:jc w:val="lef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根据培训方案中承诺的培训内容、培训课时、培训地点、培训人数、师资力量以及是否免费等进行评分</w:t>
            </w:r>
            <w:r>
              <w:rPr>
                <w:rFonts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（优得3分，良得2分，一般得1分，差或未提供得0分）</w:t>
            </w:r>
          </w:p>
          <w:p>
            <w:pPr>
              <w:spacing w:line="36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注：得优和良的均只有1家。</w:t>
            </w:r>
          </w:p>
        </w:tc>
        <w:tc>
          <w:tcPr>
            <w:tcW w:w="1043" w:type="pct"/>
            <w:vAlign w:val="center"/>
          </w:tcPr>
          <w:p>
            <w:pPr>
              <w:spacing w:line="360" w:lineRule="auto"/>
              <w:ind w:left="-38"/>
              <w:rPr>
                <w:rFonts w:ascii="宋体" w:hAnsi="宋体"/>
                <w:color w:val="000000" w:themeColor="text1"/>
                <w:szCs w:val="21"/>
                <w14:textFill>
                  <w14:solidFill>
                    <w14:schemeClr w14:val="tx1"/>
                  </w14:solidFill>
                </w14:textFill>
              </w:rPr>
            </w:pPr>
          </w:p>
        </w:tc>
      </w:tr>
    </w:tbl>
    <w:p>
      <w:pPr>
        <w:pStyle w:val="2"/>
        <w:ind w:firstLine="640" w:firstLineChars="200"/>
        <w:rPr>
          <w:color w:val="000000" w:themeColor="text1"/>
          <w14:textFill>
            <w14:solidFill>
              <w14:schemeClr w14:val="tx1"/>
            </w14:solidFill>
          </w14:textFill>
        </w:rPr>
      </w:pPr>
      <w:r>
        <w:rPr>
          <w:rFonts w:hint="eastAsia" w:eastAsia="方正黑体_GBK"/>
          <w:color w:val="000000" w:themeColor="text1"/>
          <w:sz w:val="32"/>
          <w:szCs w:val="32"/>
          <w14:textFill>
            <w14:solidFill>
              <w14:schemeClr w14:val="tx1"/>
            </w14:solidFill>
          </w14:textFill>
        </w:rPr>
        <w:t>十</w:t>
      </w:r>
      <w:r>
        <w:rPr>
          <w:rFonts w:hint="eastAsia" w:eastAsia="方正黑体_GBK"/>
          <w:color w:val="000000" w:themeColor="text1"/>
          <w:sz w:val="32"/>
          <w:szCs w:val="32"/>
          <w:lang w:val="en-US" w:eastAsia="zh-CN"/>
          <w14:textFill>
            <w14:solidFill>
              <w14:schemeClr w14:val="tx1"/>
            </w14:solidFill>
          </w14:textFill>
        </w:rPr>
        <w:t>一</w:t>
      </w:r>
      <w:r>
        <w:rPr>
          <w:rFonts w:hint="eastAsia" w:eastAsia="方正黑体_GBK"/>
          <w:color w:val="000000" w:themeColor="text1"/>
          <w:sz w:val="32"/>
          <w:szCs w:val="32"/>
          <w14:textFill>
            <w14:solidFill>
              <w14:schemeClr w14:val="tx1"/>
            </w14:solidFill>
          </w14:textFill>
        </w:rPr>
        <w:t>、废标</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w:t>
      </w:r>
      <w:r>
        <w:rPr>
          <w:rFonts w:hint="eastAsia" w:eastAsia="方正仿宋_GBK"/>
          <w:color w:val="000000" w:themeColor="text1"/>
          <w:sz w:val="32"/>
          <w:szCs w:val="32"/>
          <w:lang w:eastAsia="zh-CN"/>
          <w14:textFill>
            <w14:solidFill>
              <w14:schemeClr w14:val="tx1"/>
            </w14:solidFill>
          </w14:textFill>
        </w:rPr>
        <w:t>未</w:t>
      </w:r>
      <w:r>
        <w:rPr>
          <w:rFonts w:eastAsia="方正仿宋_GBK"/>
          <w:color w:val="000000" w:themeColor="text1"/>
          <w:sz w:val="32"/>
          <w:szCs w:val="32"/>
          <w14:textFill>
            <w14:solidFill>
              <w14:schemeClr w14:val="tx1"/>
            </w14:solidFill>
          </w14:textFill>
        </w:rPr>
        <w:t>按时参加开标会的；</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w:t>
      </w:r>
      <w:r>
        <w:rPr>
          <w:rFonts w:eastAsia="方正仿宋_GBK"/>
          <w:color w:val="000000" w:themeColor="text1"/>
          <w:sz w:val="32"/>
          <w:szCs w:val="32"/>
          <w14:textFill>
            <w14:solidFill>
              <w14:schemeClr w14:val="tx1"/>
            </w14:solidFill>
          </w14:textFill>
        </w:rPr>
        <w:t>投标人不得串通投标或采取不正当的手段骗取中标。若有类似情况出现，经</w:t>
      </w:r>
      <w:r>
        <w:rPr>
          <w:rFonts w:hint="eastAsia" w:eastAsia="方正仿宋_GBK"/>
          <w:color w:val="000000" w:themeColor="text1"/>
          <w:sz w:val="32"/>
          <w:szCs w:val="32"/>
          <w:lang w:val="en-US" w:eastAsia="zh-CN"/>
          <w14:textFill>
            <w14:solidFill>
              <w14:schemeClr w14:val="tx1"/>
            </w14:solidFill>
          </w14:textFill>
        </w:rPr>
        <w:t>比选</w:t>
      </w:r>
      <w:r>
        <w:rPr>
          <w:rFonts w:eastAsia="方正仿宋_GBK"/>
          <w:color w:val="000000" w:themeColor="text1"/>
          <w:sz w:val="32"/>
          <w:szCs w:val="32"/>
          <w14:textFill>
            <w14:solidFill>
              <w14:schemeClr w14:val="tx1"/>
            </w14:solidFill>
          </w14:textFill>
        </w:rPr>
        <w:t>人查证属实后，投标人中标无效，并不退还缴纳的</w:t>
      </w:r>
      <w:r>
        <w:rPr>
          <w:rFonts w:hint="eastAsia" w:eastAsia="方正仿宋_GBK"/>
          <w:color w:val="000000" w:themeColor="text1"/>
          <w:sz w:val="32"/>
          <w:szCs w:val="32"/>
          <w14:textFill>
            <w14:solidFill>
              <w14:schemeClr w14:val="tx1"/>
            </w14:solidFill>
          </w14:textFill>
        </w:rPr>
        <w:t>投标</w:t>
      </w:r>
      <w:r>
        <w:rPr>
          <w:rFonts w:eastAsia="方正仿宋_GBK"/>
          <w:color w:val="000000" w:themeColor="text1"/>
          <w:sz w:val="32"/>
          <w:szCs w:val="32"/>
          <w14:textFill>
            <w14:solidFill>
              <w14:schemeClr w14:val="tx1"/>
            </w14:solidFill>
          </w14:textFill>
        </w:rPr>
        <w:t>保证金；</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三</w:t>
      </w:r>
      <w:r>
        <w:rPr>
          <w:rFonts w:eastAsia="方正仿宋_GBK"/>
          <w:color w:val="000000" w:themeColor="text1"/>
          <w:sz w:val="32"/>
          <w:szCs w:val="32"/>
          <w14:textFill>
            <w14:solidFill>
              <w14:schemeClr w14:val="tx1"/>
            </w14:solidFill>
          </w14:textFill>
        </w:rPr>
        <w:t>）投标报价</w:t>
      </w:r>
      <w:r>
        <w:rPr>
          <w:rFonts w:hint="eastAsia" w:eastAsia="方正仿宋_GBK"/>
          <w:color w:val="000000" w:themeColor="text1"/>
          <w:sz w:val="32"/>
          <w:szCs w:val="32"/>
          <w14:textFill>
            <w14:solidFill>
              <w14:schemeClr w14:val="tx1"/>
            </w14:solidFill>
          </w14:textFill>
        </w:rPr>
        <w:t>高</w:t>
      </w:r>
      <w:r>
        <w:rPr>
          <w:rFonts w:eastAsia="方正仿宋_GBK"/>
          <w:color w:val="000000" w:themeColor="text1"/>
          <w:sz w:val="32"/>
          <w:szCs w:val="32"/>
          <w14:textFill>
            <w14:solidFill>
              <w14:schemeClr w14:val="tx1"/>
            </w14:solidFill>
          </w14:textFill>
        </w:rPr>
        <w:t>于最高控制价的视为废标；</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四</w:t>
      </w:r>
      <w:r>
        <w:rPr>
          <w:rFonts w:eastAsia="方正仿宋_GBK"/>
          <w:color w:val="000000" w:themeColor="text1"/>
          <w:sz w:val="32"/>
          <w:szCs w:val="32"/>
          <w14:textFill>
            <w14:solidFill>
              <w14:schemeClr w14:val="tx1"/>
            </w14:solidFill>
          </w14:textFill>
        </w:rPr>
        <w:t>）法律、法规</w:t>
      </w:r>
      <w:r>
        <w:rPr>
          <w:rFonts w:hint="eastAsia" w:eastAsia="方正仿宋_GBK"/>
          <w:color w:val="000000" w:themeColor="text1"/>
          <w:sz w:val="32"/>
          <w:szCs w:val="32"/>
          <w14:textFill>
            <w14:solidFill>
              <w14:schemeClr w14:val="tx1"/>
            </w14:solidFill>
          </w14:textFill>
        </w:rPr>
        <w:t>规定</w:t>
      </w:r>
      <w:r>
        <w:rPr>
          <w:rFonts w:eastAsia="方正仿宋_GBK"/>
          <w:color w:val="000000" w:themeColor="text1"/>
          <w:sz w:val="32"/>
          <w:szCs w:val="32"/>
          <w14:textFill>
            <w14:solidFill>
              <w14:schemeClr w14:val="tx1"/>
            </w14:solidFill>
          </w14:textFill>
        </w:rPr>
        <w:t>的其他无效情形；</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五</w:t>
      </w:r>
      <w:r>
        <w:rPr>
          <w:rFonts w:eastAsia="方正仿宋_GBK"/>
          <w:color w:val="000000" w:themeColor="text1"/>
          <w:sz w:val="32"/>
          <w:szCs w:val="32"/>
          <w14:textFill>
            <w14:solidFill>
              <w14:schemeClr w14:val="tx1"/>
            </w14:solidFill>
          </w14:textFill>
        </w:rPr>
        <w:t>）废标招标人不退还投标人缴纳的投标保证金。</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十</w:t>
      </w:r>
      <w:r>
        <w:rPr>
          <w:rFonts w:hint="eastAsia" w:eastAsia="方正黑体_GBK"/>
          <w:color w:val="000000" w:themeColor="text1"/>
          <w:sz w:val="32"/>
          <w:szCs w:val="32"/>
          <w:lang w:val="en-US" w:eastAsia="zh-CN"/>
          <w14:textFill>
            <w14:solidFill>
              <w14:schemeClr w14:val="tx1"/>
            </w14:solidFill>
          </w14:textFill>
        </w:rPr>
        <w:t>二</w:t>
      </w:r>
      <w:r>
        <w:rPr>
          <w:rFonts w:eastAsia="方正黑体_GBK"/>
          <w:color w:val="000000" w:themeColor="text1"/>
          <w:sz w:val="32"/>
          <w:szCs w:val="32"/>
          <w14:textFill>
            <w14:solidFill>
              <w14:schemeClr w14:val="tx1"/>
            </w14:solidFill>
          </w14:textFill>
        </w:rPr>
        <w:t>、联系方式</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比选</w:t>
      </w:r>
      <w:r>
        <w:rPr>
          <w:rFonts w:eastAsia="方正仿宋_GBK"/>
          <w:color w:val="000000" w:themeColor="text1"/>
          <w:sz w:val="32"/>
          <w:szCs w:val="32"/>
          <w14:textFill>
            <w14:solidFill>
              <w14:schemeClr w14:val="tx1"/>
            </w14:solidFill>
          </w14:textFill>
        </w:rPr>
        <w:t>人：重庆华牧资产经营管理有限公司</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联系人：刘先生；电话：18580104963</w:t>
      </w:r>
    </w:p>
    <w:p>
      <w:pPr>
        <w:spacing w:line="560" w:lineRule="exact"/>
        <w:rPr>
          <w:rFonts w:eastAsia="方正仿宋_GBK"/>
          <w:color w:val="000000" w:themeColor="text1"/>
          <w:sz w:val="32"/>
          <w:szCs w:val="32"/>
          <w14:textFill>
            <w14:solidFill>
              <w14:schemeClr w14:val="tx1"/>
            </w14:solidFill>
          </w14:textFill>
        </w:rPr>
      </w:pPr>
    </w:p>
    <w:p>
      <w:pPr>
        <w:spacing w:line="560" w:lineRule="exact"/>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lang w:val="en-US" w:eastAsia="zh-CN"/>
          <w14:textFill>
            <w14:solidFill>
              <w14:schemeClr w14:val="tx1"/>
            </w14:solidFill>
          </w14:textFill>
        </w:rPr>
        <w:t>比选文件</w:t>
      </w:r>
      <w:r>
        <w:rPr>
          <w:rFonts w:eastAsia="方正黑体_GBK"/>
          <w:color w:val="000000" w:themeColor="text1"/>
          <w:sz w:val="32"/>
          <w:szCs w:val="32"/>
          <w14:textFill>
            <w14:solidFill>
              <w14:schemeClr w14:val="tx1"/>
            </w14:solidFill>
          </w14:textFill>
        </w:rPr>
        <w:t>中内容不详尽或概念不清部分，归招标方统一解释。</w:t>
      </w:r>
    </w:p>
    <w:p>
      <w:pPr>
        <w:spacing w:line="560" w:lineRule="exact"/>
        <w:rPr>
          <w:rFonts w:hint="eastAsia" w:eastAsia="方正仿宋_GBK"/>
          <w:color w:val="000000" w:themeColor="text1"/>
          <w:sz w:val="32"/>
          <w:szCs w:val="32"/>
          <w:lang w:val="en-US" w:eastAsia="zh-CN"/>
          <w14:textFill>
            <w14:solidFill>
              <w14:schemeClr w14:val="tx1"/>
            </w14:solidFill>
          </w14:textFill>
        </w:rPr>
      </w:pPr>
    </w:p>
    <w:p>
      <w:pPr>
        <w:spacing w:line="560" w:lineRule="exact"/>
        <w:rPr>
          <w:rFonts w:hint="eastAsia" w:eastAsia="方正仿宋_GBK"/>
          <w:color w:val="000000" w:themeColor="text1"/>
          <w:sz w:val="32"/>
          <w:szCs w:val="32"/>
          <w:lang w:val="en-US" w:eastAsia="zh-CN"/>
          <w14:textFill>
            <w14:solidFill>
              <w14:schemeClr w14:val="tx1"/>
            </w14:solidFill>
          </w14:textFill>
        </w:rPr>
      </w:pPr>
    </w:p>
    <w:p>
      <w:pPr>
        <w:spacing w:line="560" w:lineRule="exact"/>
        <w:ind w:firstLine="3200" w:firstLineChars="1000"/>
        <w:rPr>
          <w:rFonts w:hint="default"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重庆华牧资产经营管理有限公司</w:t>
      </w:r>
    </w:p>
    <w:p>
      <w:pPr>
        <w:spacing w:line="560"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                           2022年3月</w:t>
      </w:r>
      <w:r>
        <w:rPr>
          <w:rFonts w:hint="eastAsia" w:eastAsia="方正仿宋_GBK"/>
          <w:color w:val="000000" w:themeColor="text1"/>
          <w:sz w:val="32"/>
          <w:szCs w:val="32"/>
          <w:lang w:val="en-US" w:eastAsia="zh-CN"/>
          <w14:textFill>
            <w14:solidFill>
              <w14:schemeClr w14:val="tx1"/>
            </w14:solidFill>
          </w14:textFill>
        </w:rPr>
        <w:t>14</w:t>
      </w:r>
      <w:r>
        <w:rPr>
          <w:rFonts w:eastAsia="方正仿宋_GBK"/>
          <w:color w:val="000000" w:themeColor="text1"/>
          <w:sz w:val="32"/>
          <w:szCs w:val="32"/>
          <w14:textFill>
            <w14:solidFill>
              <w14:schemeClr w14:val="tx1"/>
            </w14:solidFill>
          </w14:textFill>
        </w:rPr>
        <w:t>日</w:t>
      </w:r>
    </w:p>
    <w:p>
      <w:pPr>
        <w:pStyle w:val="2"/>
        <w:ind w:left="1060" w:firstLine="0"/>
        <w:rPr>
          <w:rFonts w:ascii="方正仿宋_GBK" w:hAnsi="方正仿宋_GBK" w:eastAsia="方正仿宋_GBK" w:cs="方正仿宋_GBK"/>
          <w:color w:val="000000" w:themeColor="text1"/>
          <w:sz w:val="32"/>
          <w:szCs w:val="32"/>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DD5D16"/>
    <w:multiLevelType w:val="singleLevel"/>
    <w:tmpl w:val="F1DD5D16"/>
    <w:lvl w:ilvl="0" w:tentative="0">
      <w:start w:val="1"/>
      <w:numFmt w:val="chineseCounting"/>
      <w:suff w:val="nothing"/>
      <w:lvlText w:val="%1、"/>
      <w:lvlJc w:val="left"/>
      <w:rPr>
        <w:rFonts w:hint="eastAsia"/>
      </w:rPr>
    </w:lvl>
  </w:abstractNum>
  <w:abstractNum w:abstractNumId="1">
    <w:nsid w:val="75B91E4C"/>
    <w:multiLevelType w:val="multilevel"/>
    <w:tmpl w:val="75B91E4C"/>
    <w:lvl w:ilvl="0" w:tentative="0">
      <w:start w:val="1"/>
      <w:numFmt w:val="chineseCountingThousand"/>
      <w:lvlText w:val="第%1章 "/>
      <w:lvlJc w:val="left"/>
      <w:pPr>
        <w:ind w:left="425" w:hanging="425"/>
      </w:pPr>
      <w:rPr>
        <w:rFonts w:hint="eastAsia"/>
      </w:rPr>
    </w:lvl>
    <w:lvl w:ilvl="1" w:tentative="0">
      <w:start w:val="1"/>
      <w:numFmt w:val="decimal"/>
      <w:pStyle w:val="10"/>
      <w:isLgl/>
      <w:lvlText w:val="%1.%2 "/>
      <w:lvlJc w:val="left"/>
      <w:pPr>
        <w:ind w:left="992" w:hanging="567"/>
      </w:pPr>
      <w:rPr>
        <w:rFonts w:hint="eastAsia"/>
      </w:rPr>
    </w:lvl>
    <w:lvl w:ilvl="2" w:tentative="0">
      <w:start w:val="1"/>
      <w:numFmt w:val="decimal"/>
      <w:isLgl/>
      <w:lvlText w:val="%1.%2.%3 "/>
      <w:lvlJc w:val="left"/>
      <w:pPr>
        <w:ind w:left="1418" w:hanging="567"/>
      </w:pPr>
      <w:rPr>
        <w:rFonts w:hint="eastAsia"/>
      </w:rPr>
    </w:lvl>
    <w:lvl w:ilvl="3" w:tentative="0">
      <w:start w:val="1"/>
      <w:numFmt w:val="decimal"/>
      <w:isLgl/>
      <w:lvlText w:val="%1.%2.%3.%4 "/>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05324D"/>
    <w:rsid w:val="0016053A"/>
    <w:rsid w:val="003D714E"/>
    <w:rsid w:val="005E0CC6"/>
    <w:rsid w:val="0090081B"/>
    <w:rsid w:val="0096290F"/>
    <w:rsid w:val="00A27240"/>
    <w:rsid w:val="00A70081"/>
    <w:rsid w:val="00BB74F6"/>
    <w:rsid w:val="00C11FB2"/>
    <w:rsid w:val="00E51867"/>
    <w:rsid w:val="00F55D65"/>
    <w:rsid w:val="01215EAE"/>
    <w:rsid w:val="01667037"/>
    <w:rsid w:val="0170540E"/>
    <w:rsid w:val="01CB6989"/>
    <w:rsid w:val="01E104D1"/>
    <w:rsid w:val="021651D1"/>
    <w:rsid w:val="02BC4CF8"/>
    <w:rsid w:val="02F83298"/>
    <w:rsid w:val="03286F07"/>
    <w:rsid w:val="032B4FB8"/>
    <w:rsid w:val="035C3CD2"/>
    <w:rsid w:val="03786AAA"/>
    <w:rsid w:val="038730D5"/>
    <w:rsid w:val="03C80F31"/>
    <w:rsid w:val="041C00D1"/>
    <w:rsid w:val="0433386F"/>
    <w:rsid w:val="04640CF7"/>
    <w:rsid w:val="049863AC"/>
    <w:rsid w:val="04CE069A"/>
    <w:rsid w:val="04D53102"/>
    <w:rsid w:val="04ED4401"/>
    <w:rsid w:val="050E0546"/>
    <w:rsid w:val="05592E9A"/>
    <w:rsid w:val="0565686E"/>
    <w:rsid w:val="05A73FEB"/>
    <w:rsid w:val="05B86D21"/>
    <w:rsid w:val="05CE5F22"/>
    <w:rsid w:val="05CE61EC"/>
    <w:rsid w:val="06130CE4"/>
    <w:rsid w:val="06630225"/>
    <w:rsid w:val="067B5E5A"/>
    <w:rsid w:val="06DD25A0"/>
    <w:rsid w:val="07625E78"/>
    <w:rsid w:val="076E1681"/>
    <w:rsid w:val="07871AF2"/>
    <w:rsid w:val="07910655"/>
    <w:rsid w:val="082857E9"/>
    <w:rsid w:val="083A4C78"/>
    <w:rsid w:val="084254D2"/>
    <w:rsid w:val="089F4D30"/>
    <w:rsid w:val="08CE29A5"/>
    <w:rsid w:val="08E7625A"/>
    <w:rsid w:val="08FC1FC1"/>
    <w:rsid w:val="091E37CD"/>
    <w:rsid w:val="092E0160"/>
    <w:rsid w:val="096C4E74"/>
    <w:rsid w:val="09A56492"/>
    <w:rsid w:val="0AF92EED"/>
    <w:rsid w:val="0B450458"/>
    <w:rsid w:val="0B8103D4"/>
    <w:rsid w:val="0B95305C"/>
    <w:rsid w:val="0BCA0964"/>
    <w:rsid w:val="0BE05EC5"/>
    <w:rsid w:val="0BE75693"/>
    <w:rsid w:val="0BEA11FE"/>
    <w:rsid w:val="0C2A469B"/>
    <w:rsid w:val="0C432A7A"/>
    <w:rsid w:val="0CA23840"/>
    <w:rsid w:val="0CAE6649"/>
    <w:rsid w:val="0CB97CA6"/>
    <w:rsid w:val="0CC342F0"/>
    <w:rsid w:val="0CC94A1C"/>
    <w:rsid w:val="0D494EF6"/>
    <w:rsid w:val="0D511117"/>
    <w:rsid w:val="0D53595A"/>
    <w:rsid w:val="0D6C3745"/>
    <w:rsid w:val="0D727D19"/>
    <w:rsid w:val="0DE766D9"/>
    <w:rsid w:val="0DFD0F2A"/>
    <w:rsid w:val="100A6D9B"/>
    <w:rsid w:val="10171BEC"/>
    <w:rsid w:val="109A29C8"/>
    <w:rsid w:val="10C20333"/>
    <w:rsid w:val="11B62240"/>
    <w:rsid w:val="11E23621"/>
    <w:rsid w:val="120F0E12"/>
    <w:rsid w:val="1257502C"/>
    <w:rsid w:val="1272253D"/>
    <w:rsid w:val="12813AA7"/>
    <w:rsid w:val="12A40439"/>
    <w:rsid w:val="12C509BC"/>
    <w:rsid w:val="1346013E"/>
    <w:rsid w:val="13DB42B0"/>
    <w:rsid w:val="142F6422"/>
    <w:rsid w:val="143D258D"/>
    <w:rsid w:val="143E1943"/>
    <w:rsid w:val="14A439E0"/>
    <w:rsid w:val="150E2827"/>
    <w:rsid w:val="15900D20"/>
    <w:rsid w:val="15A25D64"/>
    <w:rsid w:val="15CD27A8"/>
    <w:rsid w:val="168334CF"/>
    <w:rsid w:val="16A46E21"/>
    <w:rsid w:val="17016189"/>
    <w:rsid w:val="170F5D91"/>
    <w:rsid w:val="1714627F"/>
    <w:rsid w:val="176B57D9"/>
    <w:rsid w:val="177E5975"/>
    <w:rsid w:val="17A727DC"/>
    <w:rsid w:val="17D95723"/>
    <w:rsid w:val="198D53A8"/>
    <w:rsid w:val="19CE6A2A"/>
    <w:rsid w:val="19FE5687"/>
    <w:rsid w:val="1A2D1EA0"/>
    <w:rsid w:val="1A540B12"/>
    <w:rsid w:val="1A7F4F4C"/>
    <w:rsid w:val="1AA341CF"/>
    <w:rsid w:val="1B1C3CB9"/>
    <w:rsid w:val="1B810841"/>
    <w:rsid w:val="1B8E28C4"/>
    <w:rsid w:val="1BA8111D"/>
    <w:rsid w:val="1BB962B1"/>
    <w:rsid w:val="1BED2139"/>
    <w:rsid w:val="1BFF63E6"/>
    <w:rsid w:val="1C434D5B"/>
    <w:rsid w:val="1C4C4B0D"/>
    <w:rsid w:val="1C6E325F"/>
    <w:rsid w:val="1C851ACD"/>
    <w:rsid w:val="1C9A4283"/>
    <w:rsid w:val="1CB23CA8"/>
    <w:rsid w:val="1CC32314"/>
    <w:rsid w:val="1CC53ACB"/>
    <w:rsid w:val="1CDB4744"/>
    <w:rsid w:val="1D0B591A"/>
    <w:rsid w:val="1D216E4C"/>
    <w:rsid w:val="1D3518D4"/>
    <w:rsid w:val="1D3811B4"/>
    <w:rsid w:val="1DC556C7"/>
    <w:rsid w:val="1E635804"/>
    <w:rsid w:val="1E89473E"/>
    <w:rsid w:val="1E8D5E56"/>
    <w:rsid w:val="1EAA514F"/>
    <w:rsid w:val="1F432768"/>
    <w:rsid w:val="1F913E9C"/>
    <w:rsid w:val="1FC0082D"/>
    <w:rsid w:val="20062D49"/>
    <w:rsid w:val="20315136"/>
    <w:rsid w:val="209A1607"/>
    <w:rsid w:val="20BF705D"/>
    <w:rsid w:val="217E26F3"/>
    <w:rsid w:val="21D80AF2"/>
    <w:rsid w:val="221D3961"/>
    <w:rsid w:val="22317D0F"/>
    <w:rsid w:val="223B1D89"/>
    <w:rsid w:val="2289358A"/>
    <w:rsid w:val="228D186D"/>
    <w:rsid w:val="23471FE0"/>
    <w:rsid w:val="237D7CA9"/>
    <w:rsid w:val="238C5C66"/>
    <w:rsid w:val="23B070C8"/>
    <w:rsid w:val="23C0571A"/>
    <w:rsid w:val="23FA3444"/>
    <w:rsid w:val="24065A00"/>
    <w:rsid w:val="24B22AF0"/>
    <w:rsid w:val="259B29F5"/>
    <w:rsid w:val="25A73B81"/>
    <w:rsid w:val="25B2221E"/>
    <w:rsid w:val="25C522DE"/>
    <w:rsid w:val="25CE6AEB"/>
    <w:rsid w:val="264D4F65"/>
    <w:rsid w:val="26527E7B"/>
    <w:rsid w:val="266228AD"/>
    <w:rsid w:val="267C4B0B"/>
    <w:rsid w:val="26AC3FD2"/>
    <w:rsid w:val="26BF7474"/>
    <w:rsid w:val="26D10882"/>
    <w:rsid w:val="27776D07"/>
    <w:rsid w:val="27EA747A"/>
    <w:rsid w:val="28354E3F"/>
    <w:rsid w:val="28505C99"/>
    <w:rsid w:val="28727334"/>
    <w:rsid w:val="289B5C9F"/>
    <w:rsid w:val="289E5B8D"/>
    <w:rsid w:val="28E368AE"/>
    <w:rsid w:val="294B45C9"/>
    <w:rsid w:val="295870B4"/>
    <w:rsid w:val="29660C2A"/>
    <w:rsid w:val="29DB0B7A"/>
    <w:rsid w:val="2A0C02AF"/>
    <w:rsid w:val="2AAF38E2"/>
    <w:rsid w:val="2B050771"/>
    <w:rsid w:val="2B2B7B6A"/>
    <w:rsid w:val="2B3D30CA"/>
    <w:rsid w:val="2BA97017"/>
    <w:rsid w:val="2BC0548B"/>
    <w:rsid w:val="2C445FAD"/>
    <w:rsid w:val="2C64266D"/>
    <w:rsid w:val="2CE20468"/>
    <w:rsid w:val="2D281F1C"/>
    <w:rsid w:val="2D2A3F6B"/>
    <w:rsid w:val="2D415BBB"/>
    <w:rsid w:val="2D900384"/>
    <w:rsid w:val="2DB30CD9"/>
    <w:rsid w:val="2DE9103B"/>
    <w:rsid w:val="2DEA7D19"/>
    <w:rsid w:val="2DFA2228"/>
    <w:rsid w:val="2E7479E7"/>
    <w:rsid w:val="2E847D89"/>
    <w:rsid w:val="2E8A04E6"/>
    <w:rsid w:val="2E8D2DD5"/>
    <w:rsid w:val="2EB32878"/>
    <w:rsid w:val="2EB40563"/>
    <w:rsid w:val="2EB85380"/>
    <w:rsid w:val="2F053651"/>
    <w:rsid w:val="2F4414F6"/>
    <w:rsid w:val="2FC017D5"/>
    <w:rsid w:val="2FEB4D20"/>
    <w:rsid w:val="3044676E"/>
    <w:rsid w:val="3115345D"/>
    <w:rsid w:val="318D75B9"/>
    <w:rsid w:val="32084706"/>
    <w:rsid w:val="32144A17"/>
    <w:rsid w:val="325B684B"/>
    <w:rsid w:val="32B10ABA"/>
    <w:rsid w:val="32C50B26"/>
    <w:rsid w:val="32C86F2D"/>
    <w:rsid w:val="331C5FB5"/>
    <w:rsid w:val="332C3E7F"/>
    <w:rsid w:val="33817C26"/>
    <w:rsid w:val="338D4A2E"/>
    <w:rsid w:val="33B75D80"/>
    <w:rsid w:val="33C604D0"/>
    <w:rsid w:val="33E14DA1"/>
    <w:rsid w:val="33F01C32"/>
    <w:rsid w:val="33F43A4F"/>
    <w:rsid w:val="34036BF4"/>
    <w:rsid w:val="3454373A"/>
    <w:rsid w:val="34564CDD"/>
    <w:rsid w:val="346D4D0C"/>
    <w:rsid w:val="34700E3B"/>
    <w:rsid w:val="34EB2CA2"/>
    <w:rsid w:val="35201132"/>
    <w:rsid w:val="353C234E"/>
    <w:rsid w:val="3548244D"/>
    <w:rsid w:val="35581B38"/>
    <w:rsid w:val="355B5101"/>
    <w:rsid w:val="356652CF"/>
    <w:rsid w:val="35844BA9"/>
    <w:rsid w:val="359267A4"/>
    <w:rsid w:val="35D4564E"/>
    <w:rsid w:val="35D869C5"/>
    <w:rsid w:val="35D967EC"/>
    <w:rsid w:val="361557C3"/>
    <w:rsid w:val="36276F9D"/>
    <w:rsid w:val="36291E9A"/>
    <w:rsid w:val="36296865"/>
    <w:rsid w:val="36582068"/>
    <w:rsid w:val="36B52A86"/>
    <w:rsid w:val="37076854"/>
    <w:rsid w:val="371D0DD1"/>
    <w:rsid w:val="37847E7A"/>
    <w:rsid w:val="37B049E1"/>
    <w:rsid w:val="37B96FB5"/>
    <w:rsid w:val="381367BE"/>
    <w:rsid w:val="381E250C"/>
    <w:rsid w:val="38360D9E"/>
    <w:rsid w:val="38897661"/>
    <w:rsid w:val="389211D0"/>
    <w:rsid w:val="38944630"/>
    <w:rsid w:val="39717F05"/>
    <w:rsid w:val="39A17295"/>
    <w:rsid w:val="3A27452D"/>
    <w:rsid w:val="3A61651D"/>
    <w:rsid w:val="3A6B2DF0"/>
    <w:rsid w:val="3A9C5BBC"/>
    <w:rsid w:val="3ADE2191"/>
    <w:rsid w:val="3AEC5535"/>
    <w:rsid w:val="3B0034B3"/>
    <w:rsid w:val="3B7D6F95"/>
    <w:rsid w:val="3C183CAA"/>
    <w:rsid w:val="3C583A56"/>
    <w:rsid w:val="3C657804"/>
    <w:rsid w:val="3CF65EC0"/>
    <w:rsid w:val="3D073916"/>
    <w:rsid w:val="3D11076C"/>
    <w:rsid w:val="3D7F3A39"/>
    <w:rsid w:val="3D996676"/>
    <w:rsid w:val="3DC31C84"/>
    <w:rsid w:val="3DD46988"/>
    <w:rsid w:val="3E4226CA"/>
    <w:rsid w:val="3E7665BC"/>
    <w:rsid w:val="3EFB10C1"/>
    <w:rsid w:val="3F6C7064"/>
    <w:rsid w:val="3FAA5224"/>
    <w:rsid w:val="3FE640A3"/>
    <w:rsid w:val="3FFE0324"/>
    <w:rsid w:val="406042C1"/>
    <w:rsid w:val="40A01511"/>
    <w:rsid w:val="40E56187"/>
    <w:rsid w:val="413B0982"/>
    <w:rsid w:val="4145448C"/>
    <w:rsid w:val="41DF119D"/>
    <w:rsid w:val="42815394"/>
    <w:rsid w:val="4286428D"/>
    <w:rsid w:val="42B97ABC"/>
    <w:rsid w:val="42ED7F52"/>
    <w:rsid w:val="4301315E"/>
    <w:rsid w:val="433B62DD"/>
    <w:rsid w:val="43461478"/>
    <w:rsid w:val="43471AE4"/>
    <w:rsid w:val="43C216AC"/>
    <w:rsid w:val="43F90F80"/>
    <w:rsid w:val="440D2079"/>
    <w:rsid w:val="44147648"/>
    <w:rsid w:val="44557742"/>
    <w:rsid w:val="4481178E"/>
    <w:rsid w:val="448879BA"/>
    <w:rsid w:val="448A2213"/>
    <w:rsid w:val="4495157A"/>
    <w:rsid w:val="44AA267A"/>
    <w:rsid w:val="44E152FD"/>
    <w:rsid w:val="450463C9"/>
    <w:rsid w:val="4510216A"/>
    <w:rsid w:val="452337AB"/>
    <w:rsid w:val="45275E62"/>
    <w:rsid w:val="454411E1"/>
    <w:rsid w:val="45AA5641"/>
    <w:rsid w:val="45DD3311"/>
    <w:rsid w:val="45E3231E"/>
    <w:rsid w:val="46022D1C"/>
    <w:rsid w:val="461F4D16"/>
    <w:rsid w:val="46372B69"/>
    <w:rsid w:val="466A6916"/>
    <w:rsid w:val="46945AF6"/>
    <w:rsid w:val="469E5D79"/>
    <w:rsid w:val="46B154D8"/>
    <w:rsid w:val="46EA179F"/>
    <w:rsid w:val="47163F7B"/>
    <w:rsid w:val="475E3692"/>
    <w:rsid w:val="476E64BC"/>
    <w:rsid w:val="47CB3B82"/>
    <w:rsid w:val="47E16300"/>
    <w:rsid w:val="480D530E"/>
    <w:rsid w:val="48675C7A"/>
    <w:rsid w:val="489856A7"/>
    <w:rsid w:val="48D805A6"/>
    <w:rsid w:val="49027789"/>
    <w:rsid w:val="490C536A"/>
    <w:rsid w:val="490E4661"/>
    <w:rsid w:val="49662CB2"/>
    <w:rsid w:val="49826887"/>
    <w:rsid w:val="49B701E7"/>
    <w:rsid w:val="49CA183C"/>
    <w:rsid w:val="49EA2D7E"/>
    <w:rsid w:val="4A8E5A7C"/>
    <w:rsid w:val="4ADB51C5"/>
    <w:rsid w:val="4B2B05C1"/>
    <w:rsid w:val="4B4C7713"/>
    <w:rsid w:val="4C1D3C1A"/>
    <w:rsid w:val="4C3F326D"/>
    <w:rsid w:val="4C7B3424"/>
    <w:rsid w:val="4C8223B7"/>
    <w:rsid w:val="4D3377DD"/>
    <w:rsid w:val="4D656205"/>
    <w:rsid w:val="4DAE3DE5"/>
    <w:rsid w:val="4E027463"/>
    <w:rsid w:val="4E477826"/>
    <w:rsid w:val="4EFE74D9"/>
    <w:rsid w:val="4F4407DF"/>
    <w:rsid w:val="4F543C25"/>
    <w:rsid w:val="4F5D515A"/>
    <w:rsid w:val="506F3F85"/>
    <w:rsid w:val="50B05239"/>
    <w:rsid w:val="50DA441A"/>
    <w:rsid w:val="51194880"/>
    <w:rsid w:val="514F7875"/>
    <w:rsid w:val="51B16151"/>
    <w:rsid w:val="51D55F0E"/>
    <w:rsid w:val="51FA1E4E"/>
    <w:rsid w:val="52A16DFC"/>
    <w:rsid w:val="52BB7AAA"/>
    <w:rsid w:val="52E258C5"/>
    <w:rsid w:val="535C2A25"/>
    <w:rsid w:val="535C7BC6"/>
    <w:rsid w:val="53786E86"/>
    <w:rsid w:val="53FB234D"/>
    <w:rsid w:val="541C054F"/>
    <w:rsid w:val="548005D3"/>
    <w:rsid w:val="54893EDA"/>
    <w:rsid w:val="54B50130"/>
    <w:rsid w:val="54C04255"/>
    <w:rsid w:val="54D351EF"/>
    <w:rsid w:val="5580108F"/>
    <w:rsid w:val="55950101"/>
    <w:rsid w:val="56685796"/>
    <w:rsid w:val="568C2E0B"/>
    <w:rsid w:val="573B29FF"/>
    <w:rsid w:val="57637E75"/>
    <w:rsid w:val="57CA3FA8"/>
    <w:rsid w:val="58667607"/>
    <w:rsid w:val="587E2DEB"/>
    <w:rsid w:val="58900CBB"/>
    <w:rsid w:val="58EA10F3"/>
    <w:rsid w:val="58EF68BE"/>
    <w:rsid w:val="59025B0C"/>
    <w:rsid w:val="59143BD3"/>
    <w:rsid w:val="595F6ECB"/>
    <w:rsid w:val="59857297"/>
    <w:rsid w:val="5A006939"/>
    <w:rsid w:val="5A2103F3"/>
    <w:rsid w:val="5A234895"/>
    <w:rsid w:val="5A6F1DBB"/>
    <w:rsid w:val="5A811D9A"/>
    <w:rsid w:val="5ABB2076"/>
    <w:rsid w:val="5B502A17"/>
    <w:rsid w:val="5B567822"/>
    <w:rsid w:val="5B786855"/>
    <w:rsid w:val="5BAB3C86"/>
    <w:rsid w:val="5BB4181A"/>
    <w:rsid w:val="5C7A26B2"/>
    <w:rsid w:val="5C8B7ECD"/>
    <w:rsid w:val="5C913B17"/>
    <w:rsid w:val="5CA60592"/>
    <w:rsid w:val="5CF30EC9"/>
    <w:rsid w:val="5D106526"/>
    <w:rsid w:val="5D9E767C"/>
    <w:rsid w:val="5DBC07A3"/>
    <w:rsid w:val="5DBE0A45"/>
    <w:rsid w:val="5E0C1FA2"/>
    <w:rsid w:val="5E746A4C"/>
    <w:rsid w:val="5E936991"/>
    <w:rsid w:val="5EAE72DF"/>
    <w:rsid w:val="5EF56907"/>
    <w:rsid w:val="5EFF1B14"/>
    <w:rsid w:val="5F1251FB"/>
    <w:rsid w:val="5F940CF3"/>
    <w:rsid w:val="5FC37C99"/>
    <w:rsid w:val="5FE36ED0"/>
    <w:rsid w:val="5FE92E93"/>
    <w:rsid w:val="605C64EB"/>
    <w:rsid w:val="606D55D0"/>
    <w:rsid w:val="607A0FB3"/>
    <w:rsid w:val="60A93D06"/>
    <w:rsid w:val="610D0656"/>
    <w:rsid w:val="61270D98"/>
    <w:rsid w:val="612A0B3F"/>
    <w:rsid w:val="61C256D6"/>
    <w:rsid w:val="61C714F9"/>
    <w:rsid w:val="61E51EAD"/>
    <w:rsid w:val="62004BE2"/>
    <w:rsid w:val="623252FC"/>
    <w:rsid w:val="623328D1"/>
    <w:rsid w:val="623C3AEF"/>
    <w:rsid w:val="626E4342"/>
    <w:rsid w:val="627937EB"/>
    <w:rsid w:val="629E19DB"/>
    <w:rsid w:val="62AC3D2A"/>
    <w:rsid w:val="62CC1003"/>
    <w:rsid w:val="62EF5227"/>
    <w:rsid w:val="634406D0"/>
    <w:rsid w:val="63D72974"/>
    <w:rsid w:val="63EC2D49"/>
    <w:rsid w:val="640C7259"/>
    <w:rsid w:val="64725F3E"/>
    <w:rsid w:val="64CF023F"/>
    <w:rsid w:val="64D2790C"/>
    <w:rsid w:val="64E563D4"/>
    <w:rsid w:val="65100149"/>
    <w:rsid w:val="651B163C"/>
    <w:rsid w:val="65372A2B"/>
    <w:rsid w:val="654C4AB2"/>
    <w:rsid w:val="654D4B4E"/>
    <w:rsid w:val="65936A7A"/>
    <w:rsid w:val="65D25B38"/>
    <w:rsid w:val="6632167F"/>
    <w:rsid w:val="66AF1301"/>
    <w:rsid w:val="66AF2C43"/>
    <w:rsid w:val="67092B0B"/>
    <w:rsid w:val="67367CD0"/>
    <w:rsid w:val="67A62F1E"/>
    <w:rsid w:val="67C77C2A"/>
    <w:rsid w:val="67ED0FFC"/>
    <w:rsid w:val="68257028"/>
    <w:rsid w:val="682D540E"/>
    <w:rsid w:val="686C27D2"/>
    <w:rsid w:val="68E4546A"/>
    <w:rsid w:val="69174970"/>
    <w:rsid w:val="6933537D"/>
    <w:rsid w:val="693B794E"/>
    <w:rsid w:val="6982781B"/>
    <w:rsid w:val="6A05324D"/>
    <w:rsid w:val="6A173DF9"/>
    <w:rsid w:val="6B3F2204"/>
    <w:rsid w:val="6B494F71"/>
    <w:rsid w:val="6B5F665B"/>
    <w:rsid w:val="6C0E4015"/>
    <w:rsid w:val="6C4C758D"/>
    <w:rsid w:val="6C611909"/>
    <w:rsid w:val="6CB73309"/>
    <w:rsid w:val="6CE70978"/>
    <w:rsid w:val="6DB37DAD"/>
    <w:rsid w:val="6E1E2EFB"/>
    <w:rsid w:val="6E53414C"/>
    <w:rsid w:val="6E7D4628"/>
    <w:rsid w:val="6EAD0452"/>
    <w:rsid w:val="6F241BE3"/>
    <w:rsid w:val="6F2E14C6"/>
    <w:rsid w:val="6F8D5BC5"/>
    <w:rsid w:val="6FEC04FD"/>
    <w:rsid w:val="707E3918"/>
    <w:rsid w:val="70CA4E57"/>
    <w:rsid w:val="70D70560"/>
    <w:rsid w:val="71830D93"/>
    <w:rsid w:val="71FD2634"/>
    <w:rsid w:val="722E0A8A"/>
    <w:rsid w:val="726B569E"/>
    <w:rsid w:val="72976EDA"/>
    <w:rsid w:val="730F3E58"/>
    <w:rsid w:val="73B870FE"/>
    <w:rsid w:val="73D61FEC"/>
    <w:rsid w:val="74202CEE"/>
    <w:rsid w:val="758A7AAD"/>
    <w:rsid w:val="759936B1"/>
    <w:rsid w:val="762704F4"/>
    <w:rsid w:val="76486327"/>
    <w:rsid w:val="76543B29"/>
    <w:rsid w:val="767A6D96"/>
    <w:rsid w:val="76B84BFE"/>
    <w:rsid w:val="76FE175D"/>
    <w:rsid w:val="773D5F22"/>
    <w:rsid w:val="77491C55"/>
    <w:rsid w:val="7765597D"/>
    <w:rsid w:val="779958E5"/>
    <w:rsid w:val="77BB6D92"/>
    <w:rsid w:val="77BF2221"/>
    <w:rsid w:val="77DC1D48"/>
    <w:rsid w:val="77E470B6"/>
    <w:rsid w:val="77FF2E83"/>
    <w:rsid w:val="78301574"/>
    <w:rsid w:val="7851093A"/>
    <w:rsid w:val="78606E02"/>
    <w:rsid w:val="79521090"/>
    <w:rsid w:val="79AC2018"/>
    <w:rsid w:val="7A1868A2"/>
    <w:rsid w:val="7A240EDF"/>
    <w:rsid w:val="7A423AB1"/>
    <w:rsid w:val="7A464F27"/>
    <w:rsid w:val="7A5058B2"/>
    <w:rsid w:val="7ABA1F7D"/>
    <w:rsid w:val="7AE01CBB"/>
    <w:rsid w:val="7B2F3029"/>
    <w:rsid w:val="7B3F149D"/>
    <w:rsid w:val="7BAE2D1D"/>
    <w:rsid w:val="7BC873C3"/>
    <w:rsid w:val="7C0317E4"/>
    <w:rsid w:val="7CB25C59"/>
    <w:rsid w:val="7D24540E"/>
    <w:rsid w:val="7D2868BB"/>
    <w:rsid w:val="7D762396"/>
    <w:rsid w:val="7D7A4A72"/>
    <w:rsid w:val="7E3032E6"/>
    <w:rsid w:val="7E676F52"/>
    <w:rsid w:val="7E6A6152"/>
    <w:rsid w:val="7EB6666B"/>
    <w:rsid w:val="7EDF3867"/>
    <w:rsid w:val="7EE0569B"/>
    <w:rsid w:val="7F0930AF"/>
    <w:rsid w:val="7F3328E2"/>
    <w:rsid w:val="7F921901"/>
    <w:rsid w:val="7FA02BC1"/>
    <w:rsid w:val="7FB44EA3"/>
    <w:rsid w:val="7FBB3EB5"/>
    <w:rsid w:val="7FC35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156" w:after="156"/>
      <w:ind w:firstLine="480"/>
    </w:pPr>
  </w:style>
  <w:style w:type="paragraph" w:styleId="4">
    <w:name w:val="Plain Text"/>
    <w:basedOn w:val="1"/>
    <w:qFormat/>
    <w:uiPriority w:val="0"/>
    <w:pPr>
      <w:spacing w:line="440" w:lineRule="atLeast"/>
      <w:ind w:firstLine="454"/>
    </w:pPr>
    <w:rPr>
      <w:rFonts w:ascii="宋体" w:hAnsi="Courier New"/>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Indent 3"/>
    <w:basedOn w:val="1"/>
    <w:qFormat/>
    <w:uiPriority w:val="0"/>
    <w:pPr>
      <w:ind w:firstLine="360"/>
    </w:pPr>
    <w:rPr>
      <w:rFonts w:ascii="宋体" w:hAnsi="宋体"/>
      <w:sz w:val="24"/>
    </w:rPr>
  </w:style>
  <w:style w:type="paragraph" w:customStyle="1" w:styleId="10">
    <w:name w:val="第二级标题"/>
    <w:basedOn w:val="3"/>
    <w:qFormat/>
    <w:uiPriority w:val="0"/>
    <w:pPr>
      <w:numPr>
        <w:ilvl w:val="1"/>
        <w:numId w:val="1"/>
      </w:numPr>
    </w:pPr>
    <w:rPr>
      <w:rFonts w:ascii="宋体" w:eastAsia="宋体"/>
    </w:rPr>
  </w:style>
  <w:style w:type="paragraph" w:customStyle="1" w:styleId="11">
    <w:name w:val="设计正文"/>
    <w:basedOn w:val="12"/>
    <w:qFormat/>
    <w:uiPriority w:val="0"/>
    <w:pPr>
      <w:spacing w:before="156" w:beforeLines="50" w:after="156" w:afterLines="50" w:line="360" w:lineRule="auto"/>
    </w:pPr>
  </w:style>
  <w:style w:type="paragraph" w:customStyle="1" w:styleId="12">
    <w:name w:val="*正文"/>
    <w:basedOn w:val="1"/>
    <w:qFormat/>
    <w:uiPriority w:val="0"/>
    <w:pPr>
      <w:widowControl/>
      <w:ind w:firstLine="480"/>
      <w:jc w:val="left"/>
    </w:pPr>
    <w:rPr>
      <w:rFonts w:eastAsia="仿宋_GB2312"/>
      <w:kern w:val="0"/>
      <w:sz w:val="24"/>
      <w:szCs w:val="28"/>
    </w:rPr>
  </w:style>
  <w:style w:type="character" w:customStyle="1" w:styleId="13">
    <w:name w:val="NormalCharacter"/>
    <w:qFormat/>
    <w:uiPriority w:val="99"/>
  </w:style>
  <w:style w:type="paragraph" w:customStyle="1" w:styleId="14">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594</Words>
  <Characters>3391</Characters>
  <Lines>28</Lines>
  <Paragraphs>7</Paragraphs>
  <TotalTime>20</TotalTime>
  <ScaleCrop>false</ScaleCrop>
  <LinksUpToDate>false</LinksUpToDate>
  <CharactersWithSpaces>3978</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2022-03-07T14:23:00Z</dcterms:created>
  <dc:creator>USER</dc:creator>
  <cp:lastModifiedBy>USER</cp:lastModifiedBy>
  <cp:lastPrinted>2022-03-14T06:49:50Z</cp:lastPrinted>
  <dcterms:modified xsi:type="dcterms:W3CDTF">2022-03-14T07:04:32Z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421A5610A62D48B381A0506BE159F376</vt:lpwstr>
  </property>
</Properties>
</file>